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8F5E4" w14:textId="5B5AE150" w:rsidR="00E268C8" w:rsidRDefault="00E268C8" w:rsidP="00E268C8">
      <w:pPr>
        <w:pStyle w:val="Header"/>
        <w:tabs>
          <w:tab w:val="right" w:pos="9639"/>
        </w:tabs>
        <w:rPr>
          <w:sz w:val="24"/>
          <w:szCs w:val="24"/>
          <w:lang w:val="de-DE"/>
        </w:rPr>
      </w:pPr>
      <w:bookmarkStart w:id="0" w:name="_Hlk37418177"/>
      <w:r>
        <w:rPr>
          <w:bCs/>
          <w:noProof w:val="0"/>
          <w:sz w:val="24"/>
          <w:szCs w:val="24"/>
          <w:lang w:val="de-DE"/>
        </w:rPr>
        <w:t>3GPP TSG-RAN WG4 Meeting #115</w:t>
      </w:r>
      <w:r>
        <w:rPr>
          <w:bCs/>
          <w:noProof w:val="0"/>
          <w:sz w:val="24"/>
          <w:szCs w:val="24"/>
          <w:lang w:val="de-DE"/>
        </w:rPr>
        <w:tab/>
      </w:r>
      <w:r w:rsidR="00367C74" w:rsidRPr="00367C74">
        <w:rPr>
          <w:bCs/>
          <w:noProof w:val="0"/>
          <w:sz w:val="24"/>
          <w:szCs w:val="24"/>
          <w:lang w:val="en-GB"/>
        </w:rPr>
        <w:t>R4-250763</w:t>
      </w:r>
      <w:r w:rsidR="00367C74">
        <w:rPr>
          <w:bCs/>
          <w:noProof w:val="0"/>
          <w:sz w:val="24"/>
          <w:szCs w:val="24"/>
          <w:lang w:val="en-GB"/>
        </w:rPr>
        <w:t>8</w:t>
      </w:r>
    </w:p>
    <w:p w14:paraId="4A1AD2D8" w14:textId="454E1E52" w:rsidR="00B33AC8" w:rsidRDefault="00E268C8" w:rsidP="00E268C8">
      <w:pPr>
        <w:pStyle w:val="Header"/>
        <w:rPr>
          <w:bCs/>
          <w:noProof w:val="0"/>
          <w:sz w:val="24"/>
          <w:lang w:val="en-GB" w:eastAsia="ja-JP"/>
        </w:rPr>
      </w:pPr>
      <w:r>
        <w:rPr>
          <w:bCs/>
          <w:noProof w:val="0"/>
          <w:sz w:val="24"/>
          <w:szCs w:val="24"/>
        </w:rPr>
        <w:t xml:space="preserve">Malta, MT, </w:t>
      </w:r>
      <w:bookmarkEnd w:id="0"/>
      <w:r w:rsidRPr="00592870">
        <w:rPr>
          <w:bCs/>
          <w:noProof w:val="0"/>
          <w:sz w:val="24"/>
          <w:szCs w:val="24"/>
          <w:lang w:val="en-GB"/>
        </w:rPr>
        <w:t>19</w:t>
      </w:r>
      <w:r w:rsidRPr="00592870">
        <w:rPr>
          <w:bCs/>
          <w:noProof w:val="0"/>
          <w:sz w:val="24"/>
          <w:szCs w:val="24"/>
          <w:vertAlign w:val="superscript"/>
          <w:lang w:val="en-GB"/>
        </w:rPr>
        <w:t>th</w:t>
      </w:r>
      <w:r w:rsidRPr="00592870">
        <w:rPr>
          <w:bCs/>
          <w:noProof w:val="0"/>
          <w:sz w:val="24"/>
          <w:szCs w:val="24"/>
          <w:lang w:val="en-GB"/>
        </w:rPr>
        <w:t xml:space="preserve"> – 23</w:t>
      </w:r>
      <w:r w:rsidRPr="00592870">
        <w:rPr>
          <w:bCs/>
          <w:noProof w:val="0"/>
          <w:sz w:val="24"/>
          <w:szCs w:val="24"/>
          <w:vertAlign w:val="superscript"/>
          <w:lang w:val="en-GB"/>
        </w:rPr>
        <w:t>rd</w:t>
      </w:r>
      <w:r w:rsidRPr="00592870">
        <w:rPr>
          <w:bCs/>
          <w:noProof w:val="0"/>
          <w:sz w:val="24"/>
          <w:szCs w:val="24"/>
          <w:lang w:val="en-GB"/>
        </w:rPr>
        <w:t xml:space="preserve"> </w:t>
      </w:r>
      <w:proofErr w:type="gramStart"/>
      <w:r w:rsidRPr="00592870">
        <w:rPr>
          <w:bCs/>
          <w:noProof w:val="0"/>
          <w:sz w:val="24"/>
          <w:szCs w:val="24"/>
          <w:lang w:val="en-GB"/>
        </w:rPr>
        <w:t>May,</w:t>
      </w:r>
      <w:proofErr w:type="gramEnd"/>
      <w:r w:rsidRPr="00592870">
        <w:rPr>
          <w:bCs/>
          <w:noProof w:val="0"/>
          <w:sz w:val="24"/>
          <w:szCs w:val="24"/>
          <w:lang w:val="en-GB"/>
        </w:rPr>
        <w:t xml:space="preserve"> 2025</w:t>
      </w:r>
    </w:p>
    <w:p w14:paraId="0217726D" w14:textId="77777777" w:rsidR="00B33AC8" w:rsidRDefault="00B33AC8" w:rsidP="00B33AC8">
      <w:pPr>
        <w:pStyle w:val="CRCoverPage"/>
        <w:rPr>
          <w:rFonts w:cs="Arial"/>
          <w:b/>
          <w:bCs/>
          <w:sz w:val="24"/>
          <w:szCs w:val="24"/>
        </w:rPr>
      </w:pPr>
    </w:p>
    <w:p w14:paraId="588D7DC9" w14:textId="445DE03E" w:rsidR="00B33AC8" w:rsidRDefault="00B33AC8" w:rsidP="00B33AC8">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D92A1D">
        <w:rPr>
          <w:rFonts w:cs="Arial"/>
          <w:b/>
          <w:bCs/>
          <w:sz w:val="24"/>
          <w:szCs w:val="24"/>
        </w:rPr>
        <w:t>7</w:t>
      </w:r>
      <w:r>
        <w:rPr>
          <w:rFonts w:cs="Arial"/>
          <w:b/>
          <w:bCs/>
          <w:sz w:val="24"/>
          <w:szCs w:val="24"/>
        </w:rPr>
        <w:t>.</w:t>
      </w:r>
      <w:r w:rsidR="00D92A1D">
        <w:rPr>
          <w:rFonts w:cs="Arial"/>
          <w:b/>
          <w:bCs/>
          <w:sz w:val="24"/>
          <w:szCs w:val="24"/>
        </w:rPr>
        <w:t>2</w:t>
      </w:r>
      <w:r w:rsidR="008E78E0">
        <w:rPr>
          <w:rFonts w:cs="Arial"/>
          <w:b/>
          <w:bCs/>
          <w:sz w:val="24"/>
          <w:szCs w:val="24"/>
        </w:rPr>
        <w:t>5</w:t>
      </w:r>
      <w:r>
        <w:rPr>
          <w:rFonts w:cs="Arial"/>
          <w:b/>
          <w:bCs/>
          <w:sz w:val="24"/>
          <w:szCs w:val="24"/>
        </w:rPr>
        <w:t>.</w:t>
      </w:r>
      <w:r w:rsidR="008E78E0">
        <w:rPr>
          <w:rFonts w:cs="Arial"/>
          <w:b/>
          <w:bCs/>
          <w:sz w:val="24"/>
          <w:szCs w:val="24"/>
        </w:rPr>
        <w:t>3</w:t>
      </w:r>
      <w:r>
        <w:rPr>
          <w:rFonts w:cs="Arial"/>
          <w:b/>
          <w:bCs/>
          <w:sz w:val="24"/>
          <w:szCs w:val="24"/>
        </w:rPr>
        <w:t>.</w:t>
      </w:r>
      <w:r w:rsidR="00D92A1D">
        <w:rPr>
          <w:rFonts w:cs="Arial"/>
          <w:b/>
          <w:bCs/>
          <w:sz w:val="24"/>
          <w:szCs w:val="24"/>
        </w:rPr>
        <w:t>2</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7C3A19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4F4DC1">
        <w:rPr>
          <w:rFonts w:ascii="Arial" w:hAnsi="Arial" w:cs="Arial"/>
          <w:b/>
          <w:sz w:val="24"/>
          <w:szCs w:val="24"/>
          <w:lang w:val="en-US"/>
        </w:rPr>
        <w:t>T</w:t>
      </w:r>
      <w:r w:rsidR="0096710D">
        <w:rPr>
          <w:rFonts w:ascii="Arial" w:hAnsi="Arial" w:cs="Arial"/>
          <w:b/>
          <w:sz w:val="24"/>
          <w:szCs w:val="24"/>
          <w:lang w:val="en-US"/>
        </w:rPr>
        <w:t>X</w:t>
      </w:r>
      <w:r w:rsidR="004F4DC1">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A33ABEB" w14:textId="10A15025" w:rsidR="00F01F2A" w:rsidRPr="00FD7206" w:rsidRDefault="00FD7206" w:rsidP="00FD7206">
      <w:r>
        <w:t>A Way Forward was agreed in RAN4#11</w:t>
      </w:r>
      <w:r w:rsidR="008612E1">
        <w:t>4bis [1]</w:t>
      </w:r>
      <w:r w:rsidR="007A2027">
        <w:t xml:space="preserve"> </w:t>
      </w:r>
      <w:r>
        <w:t>regarding evolution of NR duplex operation. There were some agreements made that have impact on the existing BS RF requirements for SBFD operation. Also, the open items are listed in the WF. This contribution displays Nokia’s view on the existing BS RF TX requirements for SBFD operation.</w:t>
      </w:r>
    </w:p>
    <w:p w14:paraId="2FB701C9" w14:textId="25088A34" w:rsidR="00D00BB4" w:rsidRDefault="00A125E8" w:rsidP="00D00BB4">
      <w:pPr>
        <w:pStyle w:val="Heading1"/>
      </w:pPr>
      <w:bookmarkStart w:id="2" w:name="_Hlk510705081"/>
      <w:r>
        <w:t>Discussion</w:t>
      </w:r>
    </w:p>
    <w:p w14:paraId="7FAD7D28" w14:textId="54A1A225" w:rsidR="008612E1" w:rsidRDefault="008612E1" w:rsidP="00FD7206">
      <w:pPr>
        <w:pStyle w:val="Heading2"/>
      </w:pPr>
      <w:r w:rsidRPr="008612E1">
        <w:t xml:space="preserve">Deployment scenarios for FR1 SBFD </w:t>
      </w:r>
      <w:proofErr w:type="gramStart"/>
      <w:r w:rsidRPr="008612E1">
        <w:t>macro BS</w:t>
      </w:r>
      <w:proofErr w:type="gramEnd"/>
    </w:p>
    <w:tbl>
      <w:tblPr>
        <w:tblStyle w:val="TableGrid"/>
        <w:tblW w:w="0" w:type="auto"/>
        <w:tblLook w:val="04A0" w:firstRow="1" w:lastRow="0" w:firstColumn="1" w:lastColumn="0" w:noHBand="0" w:noVBand="1"/>
      </w:tblPr>
      <w:tblGrid>
        <w:gridCol w:w="9629"/>
      </w:tblGrid>
      <w:tr w:rsidR="008612E1" w14:paraId="68DE27B3" w14:textId="77777777" w:rsidTr="008612E1">
        <w:tc>
          <w:tcPr>
            <w:tcW w:w="9629" w:type="dxa"/>
          </w:tcPr>
          <w:p w14:paraId="27DFD15A" w14:textId="77777777" w:rsidR="008612E1" w:rsidRPr="008612E1" w:rsidRDefault="008612E1" w:rsidP="008612E1">
            <w:pPr>
              <w:pStyle w:val="ListParagraph"/>
              <w:numPr>
                <w:ilvl w:val="0"/>
                <w:numId w:val="19"/>
              </w:numPr>
              <w:spacing w:after="120"/>
              <w:ind w:left="720"/>
              <w:contextualSpacing w:val="0"/>
              <w:rPr>
                <w:sz w:val="20"/>
                <w:szCs w:val="20"/>
              </w:rPr>
            </w:pPr>
            <w:r w:rsidRPr="008612E1">
              <w:rPr>
                <w:sz w:val="20"/>
                <w:szCs w:val="20"/>
              </w:rPr>
              <w:t>Way forward</w:t>
            </w:r>
          </w:p>
          <w:p w14:paraId="506F28C9" w14:textId="77777777" w:rsidR="008612E1" w:rsidRPr="008612E1" w:rsidRDefault="008612E1" w:rsidP="008612E1">
            <w:pPr>
              <w:pStyle w:val="ListParagraph"/>
              <w:numPr>
                <w:ilvl w:val="1"/>
                <w:numId w:val="19"/>
              </w:numPr>
              <w:overflowPunct w:val="0"/>
              <w:autoSpaceDE w:val="0"/>
              <w:autoSpaceDN w:val="0"/>
              <w:adjustRightInd w:val="0"/>
              <w:spacing w:after="180"/>
              <w:ind w:left="1080"/>
              <w:contextualSpacing w:val="0"/>
              <w:textAlignment w:val="baseline"/>
              <w:rPr>
                <w:sz w:val="20"/>
                <w:szCs w:val="20"/>
                <w:lang w:val="en-US"/>
              </w:rPr>
            </w:pPr>
            <w:r w:rsidRPr="008612E1">
              <w:rPr>
                <w:sz w:val="20"/>
                <w:szCs w:val="20"/>
                <w:lang w:val="en-US"/>
              </w:rPr>
              <w:t xml:space="preserve">Encourage companies to provide more </w:t>
            </w:r>
            <w:proofErr w:type="gramStart"/>
            <w:r w:rsidRPr="008612E1">
              <w:rPr>
                <w:sz w:val="20"/>
                <w:szCs w:val="20"/>
                <w:lang w:val="en-US"/>
              </w:rPr>
              <w:t>inputs</w:t>
            </w:r>
            <w:proofErr w:type="gramEnd"/>
            <w:r w:rsidRPr="008612E1">
              <w:rPr>
                <w:sz w:val="20"/>
                <w:szCs w:val="20"/>
                <w:lang w:val="en-US"/>
              </w:rPr>
              <w:t xml:space="preserve"> on whether SBFD-SBFD co-ex case should be in Rel-19 scope.</w:t>
            </w:r>
          </w:p>
          <w:p w14:paraId="537C7E9C" w14:textId="77777777" w:rsidR="008612E1" w:rsidRPr="008612E1" w:rsidRDefault="008612E1" w:rsidP="008612E1">
            <w:pPr>
              <w:pStyle w:val="ListParagraph"/>
              <w:numPr>
                <w:ilvl w:val="1"/>
                <w:numId w:val="19"/>
              </w:numPr>
              <w:overflowPunct w:val="0"/>
              <w:autoSpaceDE w:val="0"/>
              <w:autoSpaceDN w:val="0"/>
              <w:adjustRightInd w:val="0"/>
              <w:spacing w:after="180"/>
              <w:ind w:left="1080"/>
              <w:contextualSpacing w:val="0"/>
              <w:textAlignment w:val="baseline"/>
              <w:rPr>
                <w:sz w:val="20"/>
                <w:szCs w:val="20"/>
                <w:lang w:val="en-US"/>
              </w:rPr>
            </w:pPr>
            <w:r w:rsidRPr="008612E1">
              <w:rPr>
                <w:sz w:val="20"/>
                <w:szCs w:val="20"/>
                <w:lang w:val="en-US"/>
              </w:rPr>
              <w:t xml:space="preserve">If it is in the scope of Rel-19, companies are also encouraged to provide input on whether/how to derive the additional requirements. FFS aspects that may need to be </w:t>
            </w:r>
            <w:proofErr w:type="gramStart"/>
            <w:r w:rsidRPr="008612E1">
              <w:rPr>
                <w:sz w:val="20"/>
                <w:szCs w:val="20"/>
                <w:lang w:val="en-US"/>
              </w:rPr>
              <w:t>taken into account</w:t>
            </w:r>
            <w:proofErr w:type="gramEnd"/>
            <w:r w:rsidRPr="008612E1">
              <w:rPr>
                <w:sz w:val="20"/>
                <w:szCs w:val="20"/>
                <w:lang w:val="en-US"/>
              </w:rPr>
              <w:t xml:space="preserve"> include:</w:t>
            </w:r>
          </w:p>
          <w:p w14:paraId="6A120D79" w14:textId="77777777" w:rsidR="008612E1" w:rsidRPr="008612E1" w:rsidRDefault="008612E1" w:rsidP="008612E1">
            <w:pPr>
              <w:pStyle w:val="ListParagraph"/>
              <w:numPr>
                <w:ilvl w:val="2"/>
                <w:numId w:val="19"/>
              </w:numPr>
              <w:overflowPunct w:val="0"/>
              <w:autoSpaceDE w:val="0"/>
              <w:autoSpaceDN w:val="0"/>
              <w:adjustRightInd w:val="0"/>
              <w:spacing w:after="180"/>
              <w:ind w:left="1800"/>
              <w:contextualSpacing w:val="0"/>
              <w:textAlignment w:val="baseline"/>
              <w:rPr>
                <w:sz w:val="20"/>
                <w:szCs w:val="20"/>
                <w:lang w:val="en-US"/>
              </w:rPr>
            </w:pPr>
            <w:r w:rsidRPr="008612E1">
              <w:rPr>
                <w:sz w:val="20"/>
                <w:szCs w:val="20"/>
                <w:lang w:val="en-US"/>
              </w:rPr>
              <w:t xml:space="preserve">Expected emissions and blocking levels, which could be estimated by means of </w:t>
            </w:r>
            <w:proofErr w:type="gramStart"/>
            <w:r w:rsidRPr="008612E1">
              <w:rPr>
                <w:sz w:val="20"/>
                <w:szCs w:val="20"/>
                <w:lang w:val="en-US"/>
              </w:rPr>
              <w:t>considering</w:t>
            </w:r>
            <w:proofErr w:type="gramEnd"/>
            <w:r w:rsidRPr="008612E1">
              <w:rPr>
                <w:sz w:val="20"/>
                <w:szCs w:val="20"/>
                <w:lang w:val="en-US"/>
              </w:rPr>
              <w:t>, e.g.:</w:t>
            </w:r>
          </w:p>
          <w:p w14:paraId="519BBCE3" w14:textId="77777777" w:rsidR="008612E1" w:rsidRPr="008612E1" w:rsidRDefault="008612E1" w:rsidP="008612E1">
            <w:pPr>
              <w:pStyle w:val="ListParagraph"/>
              <w:numPr>
                <w:ilvl w:val="3"/>
                <w:numId w:val="19"/>
              </w:numPr>
              <w:overflowPunct w:val="0"/>
              <w:autoSpaceDE w:val="0"/>
              <w:autoSpaceDN w:val="0"/>
              <w:adjustRightInd w:val="0"/>
              <w:spacing w:after="180"/>
              <w:ind w:left="2520"/>
              <w:contextualSpacing w:val="0"/>
              <w:textAlignment w:val="baseline"/>
              <w:rPr>
                <w:sz w:val="20"/>
                <w:szCs w:val="20"/>
                <w:lang w:val="en-US"/>
              </w:rPr>
            </w:pPr>
            <w:r w:rsidRPr="008612E1">
              <w:rPr>
                <w:sz w:val="20"/>
                <w:szCs w:val="20"/>
                <w:lang w:val="en-US"/>
              </w:rPr>
              <w:t>Option 1: Potential expected coupling loss and total receiver desensitization (considering self-interference, co-channel interference and adjacent operator interference) considering relevant site deployment scenarios</w:t>
            </w:r>
          </w:p>
          <w:p w14:paraId="5EAA39D0" w14:textId="77777777" w:rsidR="008612E1" w:rsidRPr="008612E1" w:rsidRDefault="008612E1" w:rsidP="008612E1">
            <w:pPr>
              <w:pStyle w:val="ListParagraph"/>
              <w:numPr>
                <w:ilvl w:val="3"/>
                <w:numId w:val="19"/>
              </w:numPr>
              <w:overflowPunct w:val="0"/>
              <w:autoSpaceDE w:val="0"/>
              <w:autoSpaceDN w:val="0"/>
              <w:adjustRightInd w:val="0"/>
              <w:spacing w:after="180"/>
              <w:ind w:left="2520"/>
              <w:contextualSpacing w:val="0"/>
              <w:textAlignment w:val="baseline"/>
              <w:rPr>
                <w:sz w:val="20"/>
                <w:szCs w:val="20"/>
                <w:lang w:val="en-US"/>
              </w:rPr>
            </w:pPr>
            <w:r w:rsidRPr="008612E1">
              <w:rPr>
                <w:sz w:val="20"/>
                <w:szCs w:val="20"/>
                <w:lang w:val="en-US"/>
              </w:rPr>
              <w:t xml:space="preserve">Option 2: Co-existence simulation and </w:t>
            </w:r>
            <w:proofErr w:type="gramStart"/>
            <w:r w:rsidRPr="008612E1">
              <w:rPr>
                <w:sz w:val="20"/>
                <w:szCs w:val="20"/>
                <w:lang w:val="en-US"/>
              </w:rPr>
              <w:t>potentially</w:t>
            </w:r>
            <w:proofErr w:type="gramEnd"/>
            <w:r w:rsidRPr="008612E1">
              <w:rPr>
                <w:sz w:val="20"/>
                <w:szCs w:val="20"/>
                <w:lang w:val="en-US"/>
              </w:rPr>
              <w:t xml:space="preserve"> analysis of co-located scenarios</w:t>
            </w:r>
          </w:p>
          <w:p w14:paraId="4378C93D" w14:textId="77777777" w:rsidR="008612E1" w:rsidRPr="008612E1" w:rsidRDefault="008612E1" w:rsidP="008612E1">
            <w:pPr>
              <w:pStyle w:val="ListParagraph"/>
              <w:numPr>
                <w:ilvl w:val="2"/>
                <w:numId w:val="19"/>
              </w:numPr>
              <w:overflowPunct w:val="0"/>
              <w:autoSpaceDE w:val="0"/>
              <w:autoSpaceDN w:val="0"/>
              <w:adjustRightInd w:val="0"/>
              <w:spacing w:after="180"/>
              <w:ind w:left="1800"/>
              <w:contextualSpacing w:val="0"/>
              <w:textAlignment w:val="baseline"/>
              <w:rPr>
                <w:sz w:val="20"/>
                <w:szCs w:val="20"/>
                <w:lang w:val="en-US"/>
              </w:rPr>
            </w:pPr>
            <w:r w:rsidRPr="008612E1">
              <w:rPr>
                <w:sz w:val="20"/>
                <w:szCs w:val="20"/>
                <w:lang w:val="en-US"/>
              </w:rPr>
              <w:t>Expected spectrum allocation and sub-band sizes</w:t>
            </w:r>
          </w:p>
          <w:p w14:paraId="23D621DF" w14:textId="41E00EB7" w:rsidR="008612E1" w:rsidRPr="008612E1" w:rsidRDefault="008612E1" w:rsidP="008612E1">
            <w:pPr>
              <w:pStyle w:val="ListParagraph"/>
              <w:numPr>
                <w:ilvl w:val="2"/>
                <w:numId w:val="19"/>
              </w:numPr>
              <w:overflowPunct w:val="0"/>
              <w:autoSpaceDE w:val="0"/>
              <w:autoSpaceDN w:val="0"/>
              <w:adjustRightInd w:val="0"/>
              <w:spacing w:after="180"/>
              <w:ind w:left="1800"/>
              <w:contextualSpacing w:val="0"/>
              <w:textAlignment w:val="baseline"/>
              <w:rPr>
                <w:lang w:val="en-US"/>
              </w:rPr>
            </w:pPr>
            <w:r w:rsidRPr="008612E1">
              <w:rPr>
                <w:sz w:val="20"/>
                <w:szCs w:val="20"/>
                <w:lang w:val="en-US"/>
              </w:rPr>
              <w:t>Expected feasible filtering performances considering the above two aspects</w:t>
            </w:r>
          </w:p>
        </w:tc>
      </w:tr>
    </w:tbl>
    <w:p w14:paraId="39FE1679" w14:textId="7B76E3FC" w:rsidR="00EE0D54" w:rsidRDefault="00EE0D54" w:rsidP="00FD7206"/>
    <w:p w14:paraId="33F79B53" w14:textId="1BD48111" w:rsidR="00A92B9F" w:rsidRDefault="00AB012C" w:rsidP="00FD7206">
      <w:r>
        <w:t xml:space="preserve">We don’t see the </w:t>
      </w:r>
      <w:r w:rsidR="00143353">
        <w:t xml:space="preserve">new SBFD-SBFD co-existence is in the scope of Rel-19. </w:t>
      </w:r>
      <w:r w:rsidR="003007EF">
        <w:t>RAN4 is already started to provide draftCRs for the requirements of SBFD-capable BS</w:t>
      </w:r>
      <w:r w:rsidR="00A86B8C">
        <w:t xml:space="preserve"> and there really is no time to widen the scope any further. There have been several meetings without conclusion of RX in-band blocking requirements and </w:t>
      </w:r>
      <w:r w:rsidR="006335AD">
        <w:t xml:space="preserve">if the scope is widened any further, we are risking the finalization of the WI. </w:t>
      </w:r>
      <w:r w:rsidR="00E37DD2">
        <w:t xml:space="preserve">The core part of the WI should be finished in </w:t>
      </w:r>
      <w:r w:rsidR="007D27FD">
        <w:t>RAN4#116</w:t>
      </w:r>
      <w:r w:rsidR="002763FE">
        <w:t xml:space="preserve"> meeting</w:t>
      </w:r>
      <w:r w:rsidR="00F45641">
        <w:t xml:space="preserve"> and there is a mountain of work and numerous agreements needed before that.</w:t>
      </w:r>
      <w:r w:rsidR="00206A57">
        <w:t xml:space="preserve"> </w:t>
      </w:r>
      <w:r w:rsidR="003C1BD2" w:rsidRPr="009B4707">
        <w:t xml:space="preserve">The described </w:t>
      </w:r>
      <w:r w:rsidR="00770CD0" w:rsidRPr="009B4707">
        <w:t xml:space="preserve">scenario where two operators SBFD capable </w:t>
      </w:r>
      <w:proofErr w:type="gramStart"/>
      <w:r w:rsidR="00770CD0" w:rsidRPr="009B4707">
        <w:t>B</w:t>
      </w:r>
      <w:r w:rsidR="004420B2">
        <w:t>S’s</w:t>
      </w:r>
      <w:proofErr w:type="gramEnd"/>
      <w:r w:rsidR="00770CD0" w:rsidRPr="009B4707">
        <w:t xml:space="preserve"> would coexist</w:t>
      </w:r>
      <w:r w:rsidR="00DD38A7" w:rsidRPr="009B4707">
        <w:t>,</w:t>
      </w:r>
      <w:r w:rsidR="00770CD0" w:rsidRPr="009B4707">
        <w:t xml:space="preserve"> </w:t>
      </w:r>
      <w:r w:rsidR="00DD38A7" w:rsidRPr="009B4707">
        <w:t>is a new scenario and a rare one</w:t>
      </w:r>
      <w:r w:rsidR="007D2C2D" w:rsidRPr="009B4707">
        <w:t xml:space="preserve">. </w:t>
      </w:r>
      <w:r w:rsidR="008A1C84" w:rsidRPr="009B4707">
        <w:t>It has not been discussed in the study item phase</w:t>
      </w:r>
      <w:r w:rsidR="0019022D" w:rsidRPr="009B4707">
        <w:t xml:space="preserve"> and should not be included here.</w:t>
      </w:r>
      <w:r w:rsidR="00EE0D54">
        <w:t xml:space="preserve"> </w:t>
      </w:r>
      <w:r w:rsidR="004420B2">
        <w:t xml:space="preserve">There are </w:t>
      </w:r>
      <w:r w:rsidR="00656306">
        <w:t>numerous aspects that</w:t>
      </w:r>
      <w:r w:rsidR="00E52302">
        <w:t xml:space="preserve"> would require solving, which some are listed in the WF. </w:t>
      </w:r>
      <w:r w:rsidR="00275B05">
        <w:t xml:space="preserve">One crucial thing not to be forgotten here is that </w:t>
      </w:r>
      <w:r w:rsidR="00C261B7">
        <w:t xml:space="preserve">SBFD-SBFD deployment scenario will need all the operators </w:t>
      </w:r>
      <w:r w:rsidR="00370348">
        <w:t xml:space="preserve">to deploy the SBFD network and agreement will be needed </w:t>
      </w:r>
      <w:r w:rsidR="00391034">
        <w:t xml:space="preserve">from all operators operating in the band. </w:t>
      </w:r>
      <w:r w:rsidR="00033923">
        <w:t xml:space="preserve">Full coordination is needed between operators for the deployment </w:t>
      </w:r>
      <w:r w:rsidR="00971843">
        <w:t>of networks.</w:t>
      </w:r>
      <w:r w:rsidR="00391034">
        <w:t xml:space="preserve"> </w:t>
      </w:r>
      <w:r w:rsidR="00971843">
        <w:t>I</w:t>
      </w:r>
      <w:r w:rsidR="008112B8">
        <w:t xml:space="preserve">f two SBFD </w:t>
      </w:r>
      <w:r w:rsidR="00733D36">
        <w:t>networks would coexist</w:t>
      </w:r>
      <w:r w:rsidR="00BE32E8">
        <w:t xml:space="preserve"> with additional emission requirements</w:t>
      </w:r>
      <w:r w:rsidR="00733D36">
        <w:t xml:space="preserve">, this would mean that TDD networks would </w:t>
      </w:r>
      <w:r w:rsidR="003E5184">
        <w:t xml:space="preserve">not </w:t>
      </w:r>
      <w:r w:rsidR="004E5983">
        <w:t xml:space="preserve">be possible to deploy. </w:t>
      </w:r>
      <w:r w:rsidR="00117458">
        <w:t>F</w:t>
      </w:r>
      <w:r w:rsidR="004E5983">
        <w:t>or FR1 frequencies</w:t>
      </w:r>
      <w:r w:rsidR="00AF64E7">
        <w:t xml:space="preserve"> </w:t>
      </w:r>
      <w:proofErr w:type="gramStart"/>
      <w:r w:rsidR="00AF64E7">
        <w:t>at the moment</w:t>
      </w:r>
      <w:proofErr w:type="gramEnd"/>
      <w:r w:rsidR="0007678E">
        <w:t>,</w:t>
      </w:r>
      <w:r w:rsidR="004E5983">
        <w:t xml:space="preserve"> </w:t>
      </w:r>
      <w:r w:rsidR="0007678E">
        <w:t>only the current n104 band</w:t>
      </w:r>
      <w:r w:rsidR="000F1A3F">
        <w:t xml:space="preserve"> </w:t>
      </w:r>
      <w:r w:rsidR="00AF64E7">
        <w:t>is</w:t>
      </w:r>
      <w:r w:rsidR="000F1A3F">
        <w:t xml:space="preserve"> suitable</w:t>
      </w:r>
      <w:r w:rsidR="00AF64E7">
        <w:t xml:space="preserve"> for this</w:t>
      </w:r>
      <w:r w:rsidR="000A6565">
        <w:t>. This in effect would mean reserving n104 only to SBFD use.</w:t>
      </w:r>
      <w:r w:rsidR="004E5983">
        <w:t xml:space="preserve"> </w:t>
      </w:r>
      <w:r w:rsidR="00725AF5">
        <w:t>In our view the c</w:t>
      </w:r>
      <w:r w:rsidR="00FD7206" w:rsidRPr="009B4707">
        <w:t>ustomer specific proprietary requirement can be used in such case where two SBFD systems are co</w:t>
      </w:r>
      <w:r w:rsidR="00EC24DC">
        <w:t>-</w:t>
      </w:r>
      <w:r w:rsidR="00FD7206" w:rsidRPr="009B4707">
        <w:t>existing</w:t>
      </w:r>
      <w:r w:rsidR="00817CA4" w:rsidRPr="009B4707">
        <w:t xml:space="preserve"> and reasonable co-location is needed</w:t>
      </w:r>
      <w:r w:rsidR="00A92B9F">
        <w:t xml:space="preserve">. </w:t>
      </w:r>
      <w:r w:rsidR="00BE18FA">
        <w:t xml:space="preserve">If there is a </w:t>
      </w:r>
      <w:r w:rsidR="00231C14">
        <w:t>requirement from regulators for SBFD on adjacent operators</w:t>
      </w:r>
      <w:r w:rsidR="00B5361B">
        <w:t xml:space="preserve">, RAN4 can have an enhancement to SBFD on a dedicated </w:t>
      </w:r>
      <w:r w:rsidR="00513D24">
        <w:t xml:space="preserve">WI to define additional emissions and blocking requirements for this </w:t>
      </w:r>
      <w:r w:rsidR="00B33245">
        <w:t>scenario.</w:t>
      </w:r>
    </w:p>
    <w:p w14:paraId="141603C3" w14:textId="64549F4B" w:rsidR="00FD7206" w:rsidRDefault="00877DA1" w:rsidP="00FD7206">
      <w:pPr>
        <w:pStyle w:val="Proposal"/>
      </w:pPr>
      <w:r>
        <w:lastRenderedPageBreak/>
        <w:t xml:space="preserve"> </w:t>
      </w:r>
      <w:proofErr w:type="gramStart"/>
      <w:r w:rsidR="00AF64E7">
        <w:t>SBFD</w:t>
      </w:r>
      <w:proofErr w:type="gramEnd"/>
      <w:r w:rsidR="00AF64E7">
        <w:t xml:space="preserve">-SBFD </w:t>
      </w:r>
      <w:r>
        <w:t>co-ex case should not be in the scope of Rel-19</w:t>
      </w:r>
      <w:r w:rsidR="00233800">
        <w:t>.</w:t>
      </w:r>
    </w:p>
    <w:p w14:paraId="022CCF8D" w14:textId="77777777" w:rsidR="00A048EB" w:rsidRPr="00A048EB" w:rsidRDefault="00A048EB" w:rsidP="00855853">
      <w:pPr>
        <w:pStyle w:val="00BodyText"/>
      </w:pPr>
    </w:p>
    <w:p w14:paraId="069DE8F5" w14:textId="36A828F2" w:rsidR="00BA2AD8" w:rsidRDefault="00891C72" w:rsidP="00891C72">
      <w:pPr>
        <w:pStyle w:val="Heading2"/>
      </w:pPr>
      <w:bookmarkStart w:id="3" w:name="OLE_LINK5"/>
      <w:bookmarkStart w:id="4" w:name="_Hlk118714984"/>
      <w:r w:rsidRPr="00786328">
        <w:t>Joint measurement for normal DL symbols/slots and SBFD symbols/slots</w:t>
      </w:r>
    </w:p>
    <w:p w14:paraId="2A998B9D" w14:textId="1EB24BBC" w:rsidR="00891C72" w:rsidRDefault="00891C72" w:rsidP="00891C72">
      <w:r>
        <w:t>The following was agreed in RAN4#11</w:t>
      </w:r>
      <w:r w:rsidR="005D7025">
        <w:t>4</w:t>
      </w:r>
      <w:r w:rsidR="008612E1">
        <w:t>bis</w:t>
      </w:r>
      <w:r>
        <w:t>:</w:t>
      </w:r>
    </w:p>
    <w:tbl>
      <w:tblPr>
        <w:tblStyle w:val="TableGrid"/>
        <w:tblW w:w="0" w:type="auto"/>
        <w:tblLook w:val="04A0" w:firstRow="1" w:lastRow="0" w:firstColumn="1" w:lastColumn="0" w:noHBand="0" w:noVBand="1"/>
      </w:tblPr>
      <w:tblGrid>
        <w:gridCol w:w="9629"/>
      </w:tblGrid>
      <w:tr w:rsidR="00891C72" w14:paraId="228336F7" w14:textId="77777777" w:rsidTr="730EB46F">
        <w:tc>
          <w:tcPr>
            <w:tcW w:w="9629" w:type="dxa"/>
          </w:tcPr>
          <w:p w14:paraId="79843354" w14:textId="77777777" w:rsidR="008612E1" w:rsidRPr="008612E1" w:rsidRDefault="008612E1" w:rsidP="008612E1">
            <w:pPr>
              <w:pStyle w:val="ListParagraph"/>
              <w:numPr>
                <w:ilvl w:val="0"/>
                <w:numId w:val="19"/>
              </w:numPr>
              <w:spacing w:after="120"/>
              <w:ind w:left="720"/>
              <w:contextualSpacing w:val="0"/>
              <w:rPr>
                <w:sz w:val="20"/>
                <w:szCs w:val="20"/>
              </w:rPr>
            </w:pPr>
            <w:r w:rsidRPr="008612E1">
              <w:rPr>
                <w:sz w:val="20"/>
                <w:szCs w:val="20"/>
              </w:rPr>
              <w:t>Way forward</w:t>
            </w:r>
          </w:p>
          <w:p w14:paraId="5FB217B9" w14:textId="77777777" w:rsidR="008612E1" w:rsidRPr="008612E1" w:rsidRDefault="008612E1" w:rsidP="008612E1">
            <w:pPr>
              <w:pStyle w:val="ListParagraph"/>
              <w:numPr>
                <w:ilvl w:val="1"/>
                <w:numId w:val="19"/>
              </w:numPr>
              <w:overflowPunct w:val="0"/>
              <w:autoSpaceDE w:val="0"/>
              <w:autoSpaceDN w:val="0"/>
              <w:adjustRightInd w:val="0"/>
              <w:spacing w:after="180"/>
              <w:ind w:left="1080"/>
              <w:contextualSpacing w:val="0"/>
              <w:textAlignment w:val="baseline"/>
              <w:rPr>
                <w:sz w:val="20"/>
                <w:szCs w:val="20"/>
                <w:lang w:val="en-US"/>
              </w:rPr>
            </w:pPr>
            <w:r w:rsidRPr="008612E1">
              <w:rPr>
                <w:sz w:val="20"/>
                <w:szCs w:val="20"/>
                <w:lang w:val="en-US"/>
              </w:rPr>
              <w:t xml:space="preserve">Further </w:t>
            </w:r>
            <w:proofErr w:type="gramStart"/>
            <w:r w:rsidRPr="008612E1">
              <w:rPr>
                <w:sz w:val="20"/>
                <w:szCs w:val="20"/>
                <w:lang w:val="en-US"/>
              </w:rPr>
              <w:t>discuss</w:t>
            </w:r>
            <w:proofErr w:type="gramEnd"/>
            <w:r w:rsidRPr="008612E1">
              <w:rPr>
                <w:sz w:val="20"/>
                <w:szCs w:val="20"/>
                <w:lang w:val="en-US"/>
              </w:rPr>
              <w:t xml:space="preserve"> on the following aspects in the performance WI</w:t>
            </w:r>
          </w:p>
          <w:p w14:paraId="4E44F7F0" w14:textId="77777777" w:rsidR="008612E1" w:rsidRPr="008612E1" w:rsidRDefault="008612E1" w:rsidP="5469843E">
            <w:pPr>
              <w:pStyle w:val="ListParagraph"/>
              <w:numPr>
                <w:ilvl w:val="2"/>
                <w:numId w:val="19"/>
              </w:numPr>
              <w:overflowPunct w:val="0"/>
              <w:autoSpaceDE w:val="0"/>
              <w:autoSpaceDN w:val="0"/>
              <w:adjustRightInd w:val="0"/>
              <w:spacing w:after="180"/>
              <w:ind w:left="1800"/>
              <w:textAlignment w:val="baseline"/>
              <w:rPr>
                <w:sz w:val="20"/>
                <w:szCs w:val="20"/>
                <w:lang w:val="en-US"/>
              </w:rPr>
            </w:pPr>
            <w:r w:rsidRPr="730EB46F">
              <w:rPr>
                <w:sz w:val="20"/>
                <w:szCs w:val="20"/>
                <w:lang w:val="en-US"/>
              </w:rPr>
              <w:t>Whether the following two slots configured with flexible symbols could be used for EVM measurement.</w:t>
            </w:r>
          </w:p>
          <w:p w14:paraId="46E882F6" w14:textId="77777777" w:rsidR="008612E1" w:rsidRPr="008612E1" w:rsidRDefault="008612E1" w:rsidP="008612E1">
            <w:pPr>
              <w:pStyle w:val="ListParagraph"/>
              <w:numPr>
                <w:ilvl w:val="3"/>
                <w:numId w:val="19"/>
              </w:numPr>
              <w:overflowPunct w:val="0"/>
              <w:autoSpaceDE w:val="0"/>
              <w:autoSpaceDN w:val="0"/>
              <w:adjustRightInd w:val="0"/>
              <w:spacing w:after="120" w:line="259" w:lineRule="auto"/>
              <w:contextualSpacing w:val="0"/>
              <w:textAlignment w:val="baseline"/>
              <w:rPr>
                <w:sz w:val="20"/>
                <w:szCs w:val="20"/>
                <w:lang w:val="en-US"/>
              </w:rPr>
            </w:pPr>
            <w:r w:rsidRPr="008612E1">
              <w:rPr>
                <w:sz w:val="20"/>
                <w:szCs w:val="20"/>
                <w:lang w:val="en-US"/>
              </w:rPr>
              <w:t xml:space="preserve">Flexible symbols per slot </w:t>
            </w:r>
            <w:proofErr w:type="gramStart"/>
            <w:r w:rsidRPr="008612E1">
              <w:rPr>
                <w:sz w:val="20"/>
                <w:szCs w:val="20"/>
                <w:lang w:val="en-US"/>
              </w:rPr>
              <w:t>is</w:t>
            </w:r>
            <w:proofErr w:type="gramEnd"/>
            <w:r w:rsidRPr="008612E1">
              <w:rPr>
                <w:sz w:val="20"/>
                <w:szCs w:val="20"/>
                <w:lang w:val="en-US"/>
              </w:rPr>
              <w:t xml:space="preserve"> configured with both SBFD symbols and guard period symbols or </w:t>
            </w:r>
          </w:p>
          <w:p w14:paraId="60F4E9DD" w14:textId="5FEA6320" w:rsidR="008612E1" w:rsidRPr="008612E1" w:rsidRDefault="008612E1" w:rsidP="5469843E">
            <w:pPr>
              <w:pStyle w:val="ListParagraph"/>
              <w:numPr>
                <w:ilvl w:val="3"/>
                <w:numId w:val="19"/>
              </w:numPr>
              <w:overflowPunct w:val="0"/>
              <w:autoSpaceDE w:val="0"/>
              <w:autoSpaceDN w:val="0"/>
              <w:adjustRightInd w:val="0"/>
              <w:spacing w:after="120" w:line="259" w:lineRule="auto"/>
              <w:textAlignment w:val="baseline"/>
              <w:rPr>
                <w:sz w:val="20"/>
                <w:szCs w:val="20"/>
                <w:lang w:val="en-US" w:bidi="ar"/>
              </w:rPr>
            </w:pPr>
            <w:r w:rsidRPr="730EB46F">
              <w:rPr>
                <w:sz w:val="20"/>
                <w:szCs w:val="20"/>
                <w:lang w:val="en-US"/>
              </w:rPr>
              <w:t xml:space="preserve">Flexible symbols per slot </w:t>
            </w:r>
            <w:proofErr w:type="gramStart"/>
            <w:r w:rsidRPr="730EB46F">
              <w:rPr>
                <w:sz w:val="20"/>
                <w:szCs w:val="20"/>
                <w:lang w:val="en-US"/>
              </w:rPr>
              <w:t>is</w:t>
            </w:r>
            <w:proofErr w:type="gramEnd"/>
            <w:r w:rsidRPr="730EB46F">
              <w:rPr>
                <w:sz w:val="20"/>
                <w:szCs w:val="20"/>
                <w:lang w:val="en-US"/>
              </w:rPr>
              <w:t xml:space="preserve"> configured with SBFD symbols, guard period </w:t>
            </w:r>
            <w:proofErr w:type="gramStart"/>
            <w:r w:rsidRPr="730EB46F">
              <w:rPr>
                <w:sz w:val="20"/>
                <w:szCs w:val="20"/>
                <w:lang w:val="en-US"/>
              </w:rPr>
              <w:t>and also</w:t>
            </w:r>
            <w:proofErr w:type="gramEnd"/>
            <w:r w:rsidRPr="730EB46F">
              <w:rPr>
                <w:sz w:val="20"/>
                <w:szCs w:val="20"/>
                <w:lang w:val="en-US"/>
              </w:rPr>
              <w:t xml:space="preserve"> uplink symbols.</w:t>
            </w:r>
          </w:p>
          <w:p w14:paraId="2EBC9C9A" w14:textId="77777777" w:rsidR="008612E1" w:rsidRPr="008612E1" w:rsidRDefault="008612E1" w:rsidP="008612E1">
            <w:pPr>
              <w:pStyle w:val="ListParagraph"/>
              <w:numPr>
                <w:ilvl w:val="2"/>
                <w:numId w:val="19"/>
              </w:numPr>
              <w:overflowPunct w:val="0"/>
              <w:autoSpaceDE w:val="0"/>
              <w:autoSpaceDN w:val="0"/>
              <w:adjustRightInd w:val="0"/>
              <w:spacing w:after="180"/>
              <w:ind w:left="1800"/>
              <w:contextualSpacing w:val="0"/>
              <w:textAlignment w:val="baseline"/>
              <w:rPr>
                <w:sz w:val="20"/>
                <w:szCs w:val="20"/>
                <w:lang w:val="en-US"/>
              </w:rPr>
            </w:pPr>
            <w:r w:rsidRPr="008612E1">
              <w:rPr>
                <w:sz w:val="20"/>
                <w:szCs w:val="20"/>
                <w:lang w:val="en-US"/>
              </w:rPr>
              <w:t>Separately measure the averaged EVM for SBFD and non-SBFD, and the averaged EVM for SBFD slots shall be calculated only based on the data samples where DLs are allocated within the SBFD slots.</w:t>
            </w:r>
          </w:p>
          <w:p w14:paraId="14D08735" w14:textId="77777777" w:rsidR="008612E1" w:rsidRPr="008612E1" w:rsidRDefault="008612E1" w:rsidP="008612E1">
            <w:pPr>
              <w:pStyle w:val="ListParagraph"/>
              <w:numPr>
                <w:ilvl w:val="2"/>
                <w:numId w:val="19"/>
              </w:numPr>
              <w:overflowPunct w:val="0"/>
              <w:autoSpaceDE w:val="0"/>
              <w:autoSpaceDN w:val="0"/>
              <w:adjustRightInd w:val="0"/>
              <w:spacing w:after="180"/>
              <w:ind w:left="1800"/>
              <w:contextualSpacing w:val="0"/>
              <w:textAlignment w:val="baseline"/>
              <w:rPr>
                <w:sz w:val="20"/>
                <w:szCs w:val="20"/>
                <w:lang w:val="en-US"/>
              </w:rPr>
            </w:pPr>
            <w:r w:rsidRPr="008612E1">
              <w:rPr>
                <w:sz w:val="20"/>
                <w:szCs w:val="20"/>
                <w:lang w:val="en-US"/>
              </w:rPr>
              <w:t>Use the following text proposal as starting point.</w:t>
            </w:r>
          </w:p>
          <w:tbl>
            <w:tblPr>
              <w:tblStyle w:val="TableGrid"/>
              <w:tblW w:w="0" w:type="auto"/>
              <w:tblInd w:w="1656" w:type="dxa"/>
              <w:tblLook w:val="04A0" w:firstRow="1" w:lastRow="0" w:firstColumn="1" w:lastColumn="0" w:noHBand="0" w:noVBand="1"/>
            </w:tblPr>
            <w:tblGrid>
              <w:gridCol w:w="7747"/>
            </w:tblGrid>
            <w:tr w:rsidR="008612E1" w14:paraId="7E1C1A38" w14:textId="77777777" w:rsidTr="00B01B6E">
              <w:tc>
                <w:tcPr>
                  <w:tcW w:w="9629" w:type="dxa"/>
                </w:tcPr>
                <w:p w14:paraId="1EDFA5C4" w14:textId="77777777" w:rsidR="008612E1" w:rsidRDefault="008612E1" w:rsidP="008612E1">
                  <w:pPr>
                    <w:pStyle w:val="Proposal"/>
                    <w:numPr>
                      <w:ilvl w:val="0"/>
                      <w:numId w:val="0"/>
                    </w:numPr>
                    <w:rPr>
                      <w:rFonts w:cs="Arial"/>
                      <w:b w:val="0"/>
                    </w:rPr>
                  </w:pPr>
                  <w:r>
                    <w:rPr>
                      <w:rFonts w:cs="Arial"/>
                      <w:b w:val="0"/>
                    </w:rPr>
                    <w:t>--------------------------------------------------------Start of Text Proposal -------------------------------------------------------</w:t>
                  </w:r>
                </w:p>
                <w:p w14:paraId="04E71BCF" w14:textId="77777777" w:rsidR="008612E1" w:rsidRPr="000546AA" w:rsidRDefault="008612E1" w:rsidP="008612E1">
                  <w:pPr>
                    <w:pStyle w:val="Heading1"/>
                    <w:numPr>
                      <w:ilvl w:val="0"/>
                      <w:numId w:val="37"/>
                    </w:numPr>
                    <w:ind w:left="720" w:hanging="360"/>
                    <w:rPr>
                      <w:lang w:eastAsia="en-CA"/>
                    </w:rPr>
                  </w:pPr>
                  <w:r>
                    <w:rPr>
                      <w:lang w:eastAsia="en-CA"/>
                    </w:rPr>
                    <w:t>B.7</w:t>
                  </w:r>
                  <w:r>
                    <w:rPr>
                      <w:lang w:eastAsia="en-CA"/>
                    </w:rPr>
                    <w:tab/>
                    <w:t>Averaged EVM</w:t>
                  </w:r>
                </w:p>
                <w:p w14:paraId="3122923E" w14:textId="77777777" w:rsidR="008612E1" w:rsidRDefault="008612E1" w:rsidP="008612E1">
                  <w:pPr>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 For SBFD, only resource blocks allocated to downlink subbands shall be measured.</w:t>
                  </w:r>
                  <w:r>
                    <w:rPr>
                      <w:rFonts w:cs="Arial"/>
                    </w:rPr>
                    <w:t xml:space="preserve"> </w:t>
                  </w:r>
                </w:p>
                <w:p w14:paraId="1651174A" w14:textId="77777777" w:rsidR="008612E1" w:rsidRDefault="008612E1" w:rsidP="008612E1">
                  <w:pPr>
                    <w:rPr>
                      <w:lang w:eastAsia="ko-KR"/>
                    </w:rPr>
                  </w:pPr>
                  <w:r>
                    <w:rPr>
                      <w:lang w:eastAsia="ko-KR"/>
                    </w:rPr>
                    <w:t xml:space="preserve">For FDD the averaging in the time domain equals the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duration of the 10 ms measurement interval from the equalizer estimation step.</w:t>
                  </w:r>
                </w:p>
                <w:p w14:paraId="3FF71F4A" w14:textId="77777777" w:rsidR="008612E1" w:rsidRDefault="008612E1" w:rsidP="008612E1">
                  <w:pPr>
                    <w:pStyle w:val="B1"/>
                    <w:rPr>
                      <w:rFonts w:eastAsia="Times New Roman"/>
                      <w:noProof/>
                      <w:lang w:eastAsia="ko-KR"/>
                    </w:rPr>
                  </w:pPr>
                  <w:r>
                    <w:rPr>
                      <w:noProof/>
                      <w:lang w:val="en-US" w:eastAsia="zh-CN"/>
                    </w:rPr>
                    <w:drawing>
                      <wp:inline distT="0" distB="0" distL="0" distR="0" wp14:anchorId="1726DCC5" wp14:editId="48F01FF2">
                        <wp:extent cx="2085340" cy="7162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5340" cy="716280"/>
                                </a:xfrm>
                                <a:prstGeom prst="rect">
                                  <a:avLst/>
                                </a:prstGeom>
                                <a:noFill/>
                                <a:ln>
                                  <a:noFill/>
                                </a:ln>
                              </pic:spPr>
                            </pic:pic>
                          </a:graphicData>
                        </a:graphic>
                      </wp:inline>
                    </w:drawing>
                  </w:r>
                </w:p>
                <w:p w14:paraId="06783693" w14:textId="77777777" w:rsidR="008612E1" w:rsidRDefault="008612E1" w:rsidP="008612E1">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4CD24CF7" w14:textId="77777777" w:rsidR="008612E1" w:rsidRDefault="008612E1" w:rsidP="008612E1">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3ADF75F9" w14:textId="77777777" w:rsidR="008612E1" w:rsidRDefault="008612E1" w:rsidP="008612E1">
                  <w:pPr>
                    <w:pStyle w:val="B1"/>
                    <w:rPr>
                      <w:lang w:eastAsia="ko-KR"/>
                    </w:rPr>
                  </w:pPr>
                  <w:r>
                    <w:rPr>
                      <w:lang w:eastAsia="ko-KR"/>
                    </w:rPr>
                    <w:t>-</w:t>
                  </w:r>
                  <w:r>
                    <w:rPr>
                      <w:lang w:eastAsia="ko-KR"/>
                    </w:rPr>
                    <w:tab/>
                    <w:t xml:space="preserve">Thus </w:t>
                  </w:r>
                  <w:r>
                    <w:rPr>
                      <w:rFonts w:eastAsia="×–¾’©‘Ì"/>
                      <w:noProof/>
                      <w:position w:val="-8"/>
                      <w:lang w:val="en-US" w:eastAsia="zh-CN"/>
                    </w:rPr>
                    <w:drawing>
                      <wp:inline distT="0" distB="0" distL="0" distR="0" wp14:anchorId="3F067176" wp14:editId="753BA0F1">
                        <wp:extent cx="657860" cy="227330"/>
                        <wp:effectExtent l="0" t="0" r="889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7860" cy="22733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en-US" w:eastAsia="zh-CN"/>
                    </w:rPr>
                    <w:drawing>
                      <wp:inline distT="0" distB="0" distL="0" distR="0" wp14:anchorId="0B9A3F08" wp14:editId="3770C496">
                        <wp:extent cx="570865" cy="227330"/>
                        <wp:effectExtent l="0" t="0" r="63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Pr>
                      <w:lang w:eastAsia="ko-KR"/>
                    </w:rPr>
                    <w:t xml:space="preserve">in the expressions above and </w:t>
                  </w:r>
                  <w:r>
                    <w:rPr>
                      <w:rFonts w:eastAsia="×–¾’©‘Ì"/>
                      <w:noProof/>
                      <w:position w:val="-10"/>
                      <w:lang w:val="en-US" w:eastAsia="zh-CN"/>
                    </w:rPr>
                    <w:drawing>
                      <wp:inline distT="0" distB="0" distL="0" distR="0" wp14:anchorId="7C328E8C" wp14:editId="3A938BD1">
                        <wp:extent cx="692785" cy="244475"/>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2785" cy="244475"/>
                                </a:xfrm>
                                <a:prstGeom prst="rect">
                                  <a:avLst/>
                                </a:prstGeom>
                                <a:noFill/>
                                <a:ln>
                                  <a:noFill/>
                                </a:ln>
                              </pic:spPr>
                            </pic:pic>
                          </a:graphicData>
                        </a:graphic>
                      </wp:inline>
                    </w:drawing>
                  </w:r>
                  <w:r>
                    <w:rPr>
                      <w:lang w:eastAsia="ko-KR"/>
                    </w:rPr>
                    <w:t xml:space="preserve"> is calculated using </w:t>
                  </w:r>
                  <w:r>
                    <w:rPr>
                      <w:noProof/>
                      <w:position w:val="-12"/>
                      <w:lang w:val="en-US" w:eastAsia="zh-CN"/>
                    </w:rPr>
                    <w:drawing>
                      <wp:inline distT="0" distB="0" distL="0" distR="0" wp14:anchorId="4967AD9D" wp14:editId="297C2DF6">
                        <wp:extent cx="570865" cy="227330"/>
                        <wp:effectExtent l="0" t="0" r="635"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Pr>
                      <w:lang w:eastAsia="ko-KR"/>
                    </w:rPr>
                    <w:t xml:space="preserve"> in the </w:t>
                  </w:r>
                  <w:r>
                    <w:rPr>
                      <w:noProof/>
                      <w:position w:val="-14"/>
                      <w:lang w:val="en-US" w:eastAsia="zh-CN"/>
                    </w:rPr>
                    <w:drawing>
                      <wp:inline distT="0" distB="0" distL="0" distR="0" wp14:anchorId="1BFC0C9D" wp14:editId="2F7C9922">
                        <wp:extent cx="622935" cy="26797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935" cy="267970"/>
                                </a:xfrm>
                                <a:prstGeom prst="rect">
                                  <a:avLst/>
                                </a:prstGeom>
                                <a:noFill/>
                                <a:ln>
                                  <a:noFill/>
                                </a:ln>
                              </pic:spPr>
                            </pic:pic>
                          </a:graphicData>
                        </a:graphic>
                      </wp:inline>
                    </w:drawing>
                  </w:r>
                  <w:r>
                    <w:rPr>
                      <w:lang w:eastAsia="ko-KR"/>
                    </w:rPr>
                    <w:t xml:space="preserve"> calculation.</w:t>
                  </w:r>
                </w:p>
                <w:p w14:paraId="29BDADEC" w14:textId="77777777" w:rsidR="008612E1" w:rsidRDefault="008612E1" w:rsidP="008612E1">
                  <w:pPr>
                    <w:pStyle w:val="B1"/>
                    <w:rPr>
                      <w:lang w:eastAsia="ko-KR"/>
                    </w:rPr>
                  </w:pPr>
                  <w:r>
                    <w:rPr>
                      <w:lang w:eastAsia="ko-KR"/>
                    </w:rPr>
                    <w:t>-</w:t>
                  </w:r>
                  <w:r>
                    <w:rPr>
                      <w:lang w:eastAsia="ko-KR"/>
                    </w:rPr>
                    <w:tab/>
                  </w:r>
                  <w:proofErr w:type="gramStart"/>
                  <w:r>
                    <w:rPr>
                      <w:lang w:eastAsia="ko-KR"/>
                    </w:rPr>
                    <w:t>Thus</w:t>
                  </w:r>
                  <w:proofErr w:type="gramEnd"/>
                  <w:r>
                    <w:rPr>
                      <w:lang w:eastAsia="ko-KR"/>
                    </w:rPr>
                    <w:t xml:space="preserve"> we get:</w:t>
                  </w:r>
                </w:p>
                <w:p w14:paraId="6CC5EFC1" w14:textId="77777777" w:rsidR="008612E1" w:rsidRDefault="00000000" w:rsidP="008612E1">
                  <w:pPr>
                    <w:pStyle w:val="B1"/>
                    <w:ind w:firstLine="0"/>
                  </w:pPr>
                  <m:oMathPara>
                    <m:oMath>
                      <m:acc>
                        <m:accPr>
                          <m:chr m:val="̅"/>
                          <m:ctrlPr>
                            <w:rPr>
                              <w:rFonts w:ascii="Cambria Math" w:eastAsia="×–¾’©‘Ì" w:hAnsi="Cambria Math"/>
                              <w:szCs w:val="22"/>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szCs w:val="22"/>
                            </w:rPr>
                          </m:ctrlPr>
                        </m:funcPr>
                        <m:fName>
                          <m:r>
                            <m:rPr>
                              <m:sty m:val="p"/>
                            </m:rPr>
                            <w:rPr>
                              <w:rFonts w:ascii="Cambria Math" w:eastAsia="×–¾’©‘Ì" w:hAnsi="Cambria Math"/>
                            </w:rPr>
                            <m:t>max</m:t>
                          </m:r>
                        </m:fName>
                        <m:e>
                          <m:d>
                            <m:dPr>
                              <m:ctrlPr>
                                <w:rPr>
                                  <w:rFonts w:ascii="Cambria Math" w:eastAsia="×–¾’©‘Ì" w:hAnsi="Cambria Math"/>
                                  <w:i/>
                                  <w:szCs w:val="22"/>
                                </w:rPr>
                              </m:ctrlPr>
                            </m:dPr>
                            <m:e>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008BA1B9" w14:textId="77777777" w:rsidR="008612E1" w:rsidRDefault="008612E1" w:rsidP="008612E1">
                  <w:pPr>
                    <w:rPr>
                      <w:lang w:eastAsia="ko-KR"/>
                    </w:rPr>
                  </w:pPr>
                  <w:r>
                    <w:rPr>
                      <w:lang w:eastAsia="ko-KR"/>
                    </w:rPr>
                    <w:t>For TDD or SBFD, l</w:t>
                  </w:r>
                  <w:r>
                    <w:t xml:space="preserve">et </w:t>
                  </w:r>
                  <m:oMath>
                    <m:sSubSup>
                      <m:sSubSupPr>
                        <m:ctrlPr>
                          <w:rPr>
                            <w:rFonts w:ascii="Cambria Math" w:hAnsi="Cambria Math"/>
                            <w:i/>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lang w:eastAsia="ko-KR"/>
                    </w:rPr>
                    <w:t xml:space="preserve"> be the number of </w:t>
                  </w:r>
                  <w:r>
                    <w:t xml:space="preserve">slots with downlink symbols or SBFD symbols </w:t>
                  </w:r>
                  <w:r>
                    <w:rPr>
                      <w:lang w:eastAsia="ko-KR"/>
                    </w:rPr>
                    <w:t xml:space="preserve">within a 10 ms measurement interval, the averaging in the time domain can be </w:t>
                  </w:r>
                  <w:r>
                    <w:rPr>
                      <w:lang w:eastAsia="ko-KR"/>
                    </w:rPr>
                    <w:lastRenderedPageBreak/>
                    <w:t xml:space="preserve">calculated from </w:t>
                  </w:r>
                  <m:oMath>
                    <m:r>
                      <w:rPr>
                        <w:rFonts w:ascii="Cambria Math" w:hAnsi="Cambria Math"/>
                        <w:lang w:eastAsia="ko-KR"/>
                      </w:rPr>
                      <m:t xml:space="preserve"> </m:t>
                    </m:r>
                    <m:sSubSup>
                      <m:sSubSupPr>
                        <m:ctrlPr>
                          <w:rPr>
                            <w:rFonts w:ascii="Cambria Math" w:hAnsi="Cambria Math"/>
                            <w:i/>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t xml:space="preserve"> slots </w:t>
                  </w:r>
                  <w:r>
                    <w:rPr>
                      <w:lang w:eastAsia="ko-KR"/>
                    </w:rPr>
                    <w:t>of different 10 ms measurement intervals</w:t>
                  </w:r>
                  <w:r>
                    <w:t xml:space="preserve"> and should have a minimum of</w:t>
                  </w:r>
                  <w:r>
                    <w:rPr>
                      <w:lang w:eastAsia="ko-KR"/>
                    </w:rPr>
                    <w:t xml:space="preserv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w:t>
                  </w:r>
                </w:p>
                <w:p w14:paraId="07C7EB2F" w14:textId="77777777" w:rsidR="008612E1" w:rsidRDefault="008612E1" w:rsidP="008612E1">
                  <w:pPr>
                    <w:pStyle w:val="B1"/>
                  </w:pPr>
                  <w:r>
                    <w:rPr>
                      <w:iCs/>
                      <w:lang w:eastAsia="ko-KR"/>
                    </w:rPr>
                    <w:t>-</w:t>
                  </w:r>
                  <w:r>
                    <w:rPr>
                      <w:iCs/>
                      <w:lang w:eastAsia="ko-KR"/>
                    </w:rPr>
                    <w:tab/>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ms measurement interval. Sum the squares, divide the sum by the number of EVM relevant locations, </w:t>
                  </w:r>
                  <w:proofErr w:type="gramStart"/>
                  <w:r>
                    <w:t>square-root</w:t>
                  </w:r>
                  <w:proofErr w:type="gramEnd"/>
                  <w:r>
                    <w:t xml:space="preserve"> the quotient (RMS).</w:t>
                  </w:r>
                </w:p>
                <w:p w14:paraId="1B962DAA" w14:textId="77777777" w:rsidR="008612E1" w:rsidRDefault="00000000" w:rsidP="008612E1">
                  <w:pPr>
                    <w:pStyle w:val="B1"/>
                    <w:rPr>
                      <w:lang w:val="sv-FI" w:eastAsia="zh-CN"/>
                    </w:rPr>
                  </w:pPr>
                  <m:oMathPara>
                    <m:oMathParaPr>
                      <m:jc m:val="left"/>
                    </m:oMathParaPr>
                    <m:oMath>
                      <m:sSub>
                        <m:sSubPr>
                          <m:ctrlPr>
                            <w:rPr>
                              <w:rFonts w:ascii="Cambria Math" w:hAnsi="Cambria Math"/>
                              <w:szCs w:val="22"/>
                            </w:rPr>
                          </m:ctrlPr>
                        </m:sSubPr>
                        <m:e>
                          <m:acc>
                            <m:accPr>
                              <m:chr m:val="̅"/>
                              <m:ctrlPr>
                                <w:rPr>
                                  <w:rFonts w:ascii="Cambria Math" w:hAnsi="Cambria Math"/>
                                  <w:szCs w:val="22"/>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szCs w:val="22"/>
                            </w:rPr>
                          </m:ctrlPr>
                        </m:radPr>
                        <m:deg/>
                        <m:e>
                          <m:f>
                            <m:fPr>
                              <m:ctrlPr>
                                <w:rPr>
                                  <w:rFonts w:ascii="Cambria Math" w:hAnsi="Cambria Math"/>
                                  <w:szCs w:val="22"/>
                                </w:rPr>
                              </m:ctrlPr>
                            </m:fPr>
                            <m:num>
                              <m:r>
                                <m:rPr>
                                  <m:sty m:val="p"/>
                                </m:rPr>
                                <w:rPr>
                                  <w:rFonts w:ascii="Cambria Math" w:hAnsi="Cambria Math"/>
                                  <w:lang w:val="sv-FI"/>
                                </w:rPr>
                                <m:t>1</m:t>
                              </m:r>
                            </m:num>
                            <m:den>
                              <m:nary>
                                <m:naryPr>
                                  <m:chr m:val="∑"/>
                                  <m:limLoc m:val="undOvr"/>
                                  <m:ctrlPr>
                                    <w:rPr>
                                      <w:rFonts w:ascii="Cambria Math" w:hAnsi="Cambria Math"/>
                                      <w:szCs w:val="22"/>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szCs w:val="22"/>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szCs w:val="22"/>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szCs w:val="22"/>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szCs w:val="22"/>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szCs w:val="22"/>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szCs w:val="22"/>
                                        </w:rPr>
                                      </m:ctrlPr>
                                    </m:sSubPr>
                                    <m:e>
                                      <m:r>
                                        <w:rPr>
                                          <w:rFonts w:ascii="Cambria Math" w:hAnsi="Cambria Math"/>
                                        </w:rPr>
                                        <m:t>N</m:t>
                                      </m:r>
                                    </m:e>
                                    <m:sub>
                                      <m:r>
                                        <w:rPr>
                                          <w:rFonts w:ascii="Cambria Math" w:hAnsi="Cambria Math"/>
                                        </w:rPr>
                                        <m:t>i</m:t>
                                      </m:r>
                                    </m:sub>
                                  </m:sSub>
                                </m:sup>
                                <m:e>
                                  <m:sSubSup>
                                    <m:sSubSupPr>
                                      <m:ctrlPr>
                                        <w:rPr>
                                          <w:rFonts w:ascii="Cambria Math" w:hAnsi="Cambria Math"/>
                                          <w:szCs w:val="22"/>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6B628B97" w14:textId="77777777" w:rsidR="008612E1" w:rsidRDefault="008612E1" w:rsidP="008612E1">
                  <w:pPr>
                    <w:pStyle w:val="B1"/>
                    <w:rPr>
                      <w:lang w:eastAsia="ko-KR"/>
                    </w:rPr>
                  </w:pPr>
                  <w:r>
                    <w:rPr>
                      <w:iCs/>
                      <w:lang w:eastAsia="ko-KR"/>
                    </w:rPr>
                    <w:t>-</w:t>
                  </w:r>
                  <w:r>
                    <w:rPr>
                      <w:iCs/>
                      <w:lang w:eastAsia="ko-KR"/>
                    </w:rPr>
                    <w:tab/>
                    <w:t xml:space="preserve">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3E920439" w14:textId="77777777" w:rsidR="008612E1" w:rsidRDefault="008612E1" w:rsidP="008612E1">
                  <w:pPr>
                    <w:pStyle w:val="B1"/>
                    <w:rPr>
                      <w:lang w:val="en-US"/>
                    </w:rPr>
                  </w:pPr>
                  <w:r>
                    <w:rPr>
                      <w:iCs/>
                      <w:lang w:eastAsia="ko-KR"/>
                    </w:rPr>
                    <w:t>-</w:t>
                  </w:r>
                  <w:r>
                    <w:rPr>
                      <w:iCs/>
                      <w:lang w:eastAsia="ko-KR"/>
                    </w:rPr>
                    <w:tab/>
                  </w:r>
                  <w:r>
                    <w:t xml:space="preserve">The </w:t>
                  </w:r>
                  <m:oMath>
                    <m:sSub>
                      <m:sSubPr>
                        <m:ctrlPr>
                          <w:rPr>
                            <w:rFonts w:ascii="Cambria Math" w:eastAsia="×–¾’©‘Ì" w:hAnsi="Cambria Math"/>
                            <w:i/>
                            <w:szCs w:val="22"/>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szCs w:val="22"/>
                          </w:rPr>
                        </m:ctrlPr>
                      </m:accPr>
                      <m:e>
                        <m:r>
                          <w:rPr>
                            <w:rFonts w:ascii="Cambria Math" w:hAnsi="Cambria Math"/>
                          </w:rPr>
                          <m:t>t</m:t>
                        </m:r>
                      </m:e>
                    </m:acc>
                    <m:r>
                      <w:rPr>
                        <w:rFonts w:ascii="Cambria Math" w:hAnsi="Cambria Math"/>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szCs w:val="22"/>
                          </w:rPr>
                        </m:ctrlPr>
                      </m:accPr>
                      <m:e>
                        <m:r>
                          <w:rPr>
                            <w:rFonts w:ascii="Cambria Math" w:hAnsi="Cambria Math"/>
                          </w:rPr>
                          <m:t>t</m:t>
                        </m:r>
                      </m:e>
                    </m:acc>
                    <m:r>
                      <w:rPr>
                        <w:rFonts w:ascii="Cambria Math" w:hAnsi="Cambria Math"/>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szCs w:val="22"/>
                          </w:rPr>
                        </m:ctrlPr>
                      </m:dPr>
                      <m:e>
                        <m:r>
                          <w:rPr>
                            <w:rFonts w:ascii="Cambria Math" w:hAnsi="Cambria Math"/>
                          </w:rPr>
                          <m:t>∆c-W/2</m:t>
                        </m:r>
                      </m:e>
                    </m:d>
                  </m:oMath>
                  <w:r>
                    <w:rPr>
                      <w:noProof/>
                    </w:rPr>
                    <w:t xml:space="preserve"> and and high is the timing </w:t>
                  </w:r>
                  <m:oMath>
                    <m:d>
                      <m:dPr>
                        <m:ctrlPr>
                          <w:rPr>
                            <w:rFonts w:ascii="Cambria Math" w:hAnsi="Cambria Math"/>
                            <w:i/>
                            <w:szCs w:val="22"/>
                          </w:rPr>
                        </m:ctrlPr>
                      </m:dPr>
                      <m:e>
                        <m:r>
                          <w:rPr>
                            <w:rFonts w:ascii="Cambria Math" w:hAnsi="Cambria Math"/>
                          </w:rPr>
                          <m:t>∆c+W/2</m:t>
                        </m:r>
                      </m:e>
                    </m:d>
                  </m:oMath>
                  <w:r>
                    <w:rPr>
                      <w:noProof/>
                    </w:rPr>
                    <w:t>)</w:t>
                  </w:r>
                  <w:r>
                    <w:t>.</w:t>
                  </w:r>
                </w:p>
                <w:p w14:paraId="02B8D135" w14:textId="77777777" w:rsidR="008612E1" w:rsidRDefault="00000000" w:rsidP="008612E1">
                  <w:pPr>
                    <w:pStyle w:val="EQ"/>
                    <w:jc w:val="center"/>
                    <w:rPr>
                      <w:iCs/>
                    </w:rPr>
                  </w:pPr>
                  <m:oMathPara>
                    <m:oMath>
                      <m:sSub>
                        <m:sSubPr>
                          <m:ctrlPr>
                            <w:rPr>
                              <w:rFonts w:ascii="Cambria Math" w:eastAsia="×–¾’©‘Ì" w:hAnsi="Cambria Math"/>
                              <w:i/>
                              <w:szCs w:val="22"/>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szCs w:val="22"/>
                            </w:rPr>
                          </m:ctrlPr>
                        </m:funcPr>
                        <m:fName>
                          <m:r>
                            <m:rPr>
                              <m:sty m:val="p"/>
                            </m:rPr>
                            <w:rPr>
                              <w:rFonts w:ascii="Cambria Math" w:eastAsia="×–¾’©‘Ì" w:hAnsi="Cambria Math"/>
                            </w:rPr>
                            <m:t>max</m:t>
                          </m:r>
                        </m:fName>
                        <m:e>
                          <m:d>
                            <m:dPr>
                              <m:ctrlPr>
                                <w:rPr>
                                  <w:rFonts w:ascii="Cambria Math" w:eastAsia="×–¾’©‘Ì" w:hAnsi="Cambria Math"/>
                                  <w:i/>
                                  <w:szCs w:val="22"/>
                                </w:rPr>
                              </m:ctrlPr>
                            </m:dPr>
                            <m:e>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073E9135" w14:textId="77777777" w:rsidR="008612E1" w:rsidRDefault="008612E1" w:rsidP="008612E1">
                  <w:pPr>
                    <w:pStyle w:val="B1"/>
                  </w:pPr>
                  <w:r>
                    <w:rPr>
                      <w:iCs/>
                      <w:lang w:eastAsia="ko-KR"/>
                    </w:rPr>
                    <w:t>-</w:t>
                  </w:r>
                  <w:r>
                    <w:rPr>
                      <w:iCs/>
                      <w:lang w:eastAsia="ko-KR"/>
                    </w:rPr>
                    <w:tab/>
                  </w:r>
                  <w:proofErr w:type="gramStart"/>
                  <w:r>
                    <w:t>In order to</w:t>
                  </w:r>
                  <w:proofErr w:type="gramEnd"/>
                  <w:r>
                    <w:t xml:space="preserve"> unite at least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lang w:eastAsia="ko-KR"/>
                    </w:rPr>
                    <w:t xml:space="preserve"> slots</w:t>
                  </w:r>
                  <w:r>
                    <w:t xml:space="preserve">, consider the minimum integer number of 10 ms measurement intervals, where </w:t>
                  </w:r>
                  <m:oMath>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r>
                    <w:t>.</w:t>
                  </w:r>
                </w:p>
                <w:p w14:paraId="06556584" w14:textId="77777777" w:rsidR="008612E1" w:rsidRDefault="00000000" w:rsidP="008612E1">
                  <w:pPr>
                    <w:pStyle w:val="EQ"/>
                    <w:rPr>
                      <w:rFonts w:eastAsia="×–¾’©‘Ì"/>
                    </w:rPr>
                  </w:pPr>
                  <m:oMathPara>
                    <m:oMath>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szCs w:val="22"/>
                              <w:lang w:eastAsia="ko-KR"/>
                            </w:rPr>
                          </m:ctrlPr>
                        </m:dPr>
                        <m:e>
                          <m:f>
                            <m:fPr>
                              <m:ctrlPr>
                                <w:rPr>
                                  <w:rFonts w:ascii="Cambria Math" w:hAnsi="Cambria Math"/>
                                  <w:szCs w:val="22"/>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15243976" w14:textId="77777777" w:rsidR="008612E1" w:rsidRDefault="008612E1" w:rsidP="008612E1">
                  <w:pPr>
                    <w:pStyle w:val="B2"/>
                    <w:rPr>
                      <w:rFonts w:eastAsia="Times New Roman"/>
                      <w:lang w:eastAsia="ko-KR"/>
                    </w:rPr>
                  </w:pPr>
                  <w:r>
                    <w:rPr>
                      <w:noProof/>
                      <w:lang w:eastAsia="ko-KR"/>
                    </w:rPr>
                    <w:t xml:space="preserve">and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Pr>
                      <w:noProof/>
                      <w:lang w:eastAsia="ko-KR"/>
                    </w:rPr>
                    <w:t xml:space="preserve"> for 15 kHz SCS,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Pr>
                      <w:noProof/>
                      <w:lang w:eastAsia="ko-KR"/>
                    </w:rPr>
                    <w:t xml:space="preserve"> for 30 kHz SCS and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Pr>
                      <w:noProof/>
                      <w:lang w:eastAsia="ko-KR"/>
                    </w:rPr>
                    <w:t xml:space="preserve"> for 60 kHz SCS normal CP.</w:t>
                  </w:r>
                </w:p>
                <w:p w14:paraId="29BD1726" w14:textId="77777777" w:rsidR="008612E1" w:rsidRDefault="008612E1" w:rsidP="008612E1">
                  <w:pPr>
                    <w:pStyle w:val="B1"/>
                  </w:pPr>
                  <w:r>
                    <w:rPr>
                      <w:iCs/>
                      <w:lang w:eastAsia="ko-KR"/>
                    </w:rPr>
                    <w:t>-</w:t>
                  </w:r>
                  <w:r>
                    <w:rPr>
                      <w:iCs/>
                      <w:lang w:eastAsia="ko-KR"/>
                    </w:rPr>
                    <w:tab/>
                  </w:r>
                  <w:r>
                    <w:t>Unite by RMS.</w:t>
                  </w:r>
                </w:p>
                <w:p w14:paraId="562DD0FD" w14:textId="77777777" w:rsidR="008612E1" w:rsidRDefault="00000000" w:rsidP="008612E1">
                  <w:pPr>
                    <w:pStyle w:val="EQ"/>
                    <w:rPr>
                      <w:iCs/>
                    </w:rPr>
                  </w:pPr>
                  <m:oMathPara>
                    <m:oMath>
                      <m:acc>
                        <m:accPr>
                          <m:chr m:val="̅"/>
                          <m:ctrlPr>
                            <w:rPr>
                              <w:rFonts w:ascii="Cambria Math" w:eastAsia="×–¾’©‘Ì" w:hAnsi="Cambria Math"/>
                              <w:szCs w:val="22"/>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szCs w:val="22"/>
                              <w:lang w:eastAsia="ko-KR"/>
                            </w:rPr>
                          </m:ctrlPr>
                        </m:radPr>
                        <m:deg/>
                        <m:e>
                          <m:f>
                            <m:fPr>
                              <m:ctrlPr>
                                <w:rPr>
                                  <w:rFonts w:ascii="Cambria Math" w:hAnsi="Cambria Math"/>
                                  <w:szCs w:val="22"/>
                                  <w:lang w:eastAsia="ko-KR"/>
                                </w:rPr>
                              </m:ctrlPr>
                            </m:fPr>
                            <m:num>
                              <m:r>
                                <m:rPr>
                                  <m:sty m:val="p"/>
                                </m:rPr>
                                <w:rPr>
                                  <w:rFonts w:ascii="Cambria Math" w:hAnsi="Cambria Math"/>
                                  <w:lang w:eastAsia="ko-KR"/>
                                </w:rPr>
                                <m:t>1</m:t>
                              </m:r>
                            </m:num>
                            <m:den>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szCs w:val="22"/>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szCs w:val="22"/>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36B75EFD" w14:textId="77777777" w:rsidR="008612E1" w:rsidRDefault="008612E1" w:rsidP="008612E1">
                  <w:pPr>
                    <w:pStyle w:val="Proposal"/>
                    <w:numPr>
                      <w:ilvl w:val="0"/>
                      <w:numId w:val="0"/>
                    </w:numPr>
                    <w:rPr>
                      <w:rFonts w:cs="Arial"/>
                      <w:b w:val="0"/>
                    </w:rPr>
                  </w:pPr>
                </w:p>
                <w:p w14:paraId="33C3EB06" w14:textId="77777777" w:rsidR="008612E1" w:rsidRPr="00DE6E29" w:rsidRDefault="008612E1" w:rsidP="008612E1">
                  <w:pPr>
                    <w:pStyle w:val="Proposal"/>
                    <w:numPr>
                      <w:ilvl w:val="0"/>
                      <w:numId w:val="0"/>
                    </w:numPr>
                    <w:rPr>
                      <w:rFonts w:cs="Arial"/>
                      <w:b w:val="0"/>
                    </w:rPr>
                  </w:pPr>
                  <w:r>
                    <w:rPr>
                      <w:rFonts w:cs="Arial"/>
                      <w:b w:val="0"/>
                    </w:rPr>
                    <w:t>---------------------------------------------------------End of Text Proposal---------------------------------------------------------</w:t>
                  </w:r>
                </w:p>
              </w:tc>
            </w:tr>
          </w:tbl>
          <w:p w14:paraId="69FCCE4C" w14:textId="6DF8B6A8" w:rsidR="00891C72" w:rsidRPr="005D7025" w:rsidRDefault="00891C72" w:rsidP="008612E1">
            <w:pPr>
              <w:pStyle w:val="ListParagraph"/>
              <w:overflowPunct w:val="0"/>
              <w:autoSpaceDE w:val="0"/>
              <w:autoSpaceDN w:val="0"/>
              <w:adjustRightInd w:val="0"/>
              <w:spacing w:after="180"/>
              <w:ind w:left="420"/>
              <w:contextualSpacing w:val="0"/>
              <w:textAlignment w:val="baseline"/>
              <w:rPr>
                <w:lang w:val="en-US"/>
              </w:rPr>
            </w:pPr>
          </w:p>
        </w:tc>
      </w:tr>
    </w:tbl>
    <w:p w14:paraId="181E6D37" w14:textId="77777777" w:rsidR="00891C72" w:rsidRDefault="00891C72" w:rsidP="00891C72"/>
    <w:p w14:paraId="120A1BFF" w14:textId="61F5E03A" w:rsidR="008612E1" w:rsidRDefault="008612E1" w:rsidP="00891C72"/>
    <w:p w14:paraId="1EBCE571" w14:textId="70C8983B" w:rsidR="00954502" w:rsidRDefault="00D74876" w:rsidP="00891C72">
      <w:r>
        <w:t xml:space="preserve">It has been agreed that averaged EVM will be measured separately for </w:t>
      </w:r>
      <w:r w:rsidR="00EA776F" w:rsidRPr="00EA776F">
        <w:t>SBFD and non-SBFD, and the averaged EVM for SBFD slots shall be calculated only based on the data samples where DLs are allocated within the SBFD slots.</w:t>
      </w:r>
      <w:r w:rsidR="004A1DC7">
        <w:t xml:space="preserve"> This </w:t>
      </w:r>
      <w:r w:rsidR="00EA776F">
        <w:t>is</w:t>
      </w:r>
      <w:r w:rsidR="004A1DC7">
        <w:t xml:space="preserve"> captured </w:t>
      </w:r>
      <w:r w:rsidR="00EA776F">
        <w:t>well</w:t>
      </w:r>
      <w:r w:rsidR="00FB3CFE">
        <w:t xml:space="preserve"> </w:t>
      </w:r>
      <w:r w:rsidR="00A624CE">
        <w:t xml:space="preserve">in the </w:t>
      </w:r>
      <w:r w:rsidR="004A1DC7">
        <w:t xml:space="preserve">TP </w:t>
      </w:r>
      <w:r w:rsidR="00947D51">
        <w:t>in the way forward.</w:t>
      </w:r>
      <w:r w:rsidR="00A624CE">
        <w:t xml:space="preserve"> </w:t>
      </w:r>
      <w:r w:rsidR="00EE4C75">
        <w:t xml:space="preserve">In case the slot has a combination of SBFD symbols, and flexible or UL symbols, the EVM shall be measured </w:t>
      </w:r>
      <w:r w:rsidR="0033193F">
        <w:t xml:space="preserve">on the SBFD symbols only. </w:t>
      </w:r>
    </w:p>
    <w:p w14:paraId="6665492C" w14:textId="5C523E08" w:rsidR="008C4C41" w:rsidRDefault="001917AF" w:rsidP="00855853">
      <w:pPr>
        <w:pStyle w:val="Proposal"/>
        <w:rPr>
          <w:rFonts w:cs="Arial"/>
          <w:b w:val="0"/>
        </w:rPr>
      </w:pPr>
      <w:r>
        <w:t xml:space="preserve"> </w:t>
      </w:r>
      <w:r w:rsidR="0033193F">
        <w:t>EVM is calculated on SBFD symbols only</w:t>
      </w:r>
      <w:r w:rsidR="00C63567">
        <w:t>. Symbols used for</w:t>
      </w:r>
      <w:r w:rsidR="0033193F">
        <w:t xml:space="preserve"> </w:t>
      </w:r>
      <w:r w:rsidR="0033193F" w:rsidRPr="0033193F">
        <w:t>guard period and uplink symbols</w:t>
      </w:r>
      <w:r w:rsidR="00C63567">
        <w:t xml:space="preserve"> are not included in EVM calculation.</w:t>
      </w:r>
    </w:p>
    <w:p w14:paraId="57924EAE" w14:textId="39A2F801" w:rsidR="004706B4" w:rsidRDefault="00531B4B" w:rsidP="00060E48">
      <w:pPr>
        <w:pStyle w:val="Proposal"/>
      </w:pPr>
      <w:r>
        <w:t xml:space="preserve"> </w:t>
      </w:r>
      <w:r w:rsidR="00151431">
        <w:t xml:space="preserve">EVM calculation </w:t>
      </w:r>
      <w:r w:rsidR="007F3D6F">
        <w:t xml:space="preserve">in Annex B.7 </w:t>
      </w:r>
      <w:r w:rsidR="00151431">
        <w:t>c</w:t>
      </w:r>
      <w:r w:rsidR="007F3D6F">
        <w:t>an be updated as proposed</w:t>
      </w:r>
      <w:r w:rsidR="00A842BC">
        <w:t xml:space="preserve"> </w:t>
      </w:r>
      <w:proofErr w:type="gramStart"/>
      <w:r w:rsidR="00A842BC">
        <w:t>in</w:t>
      </w:r>
      <w:proofErr w:type="gramEnd"/>
      <w:r w:rsidR="00A842BC">
        <w:t xml:space="preserve"> </w:t>
      </w:r>
      <w:r w:rsidR="008707CA">
        <w:rPr>
          <w:lang w:val="en-GB"/>
        </w:rPr>
        <w:t>the way forward</w:t>
      </w:r>
      <w:r w:rsidR="007F3D6F">
        <w:t>.</w:t>
      </w:r>
    </w:p>
    <w:p w14:paraId="7958F7D1" w14:textId="3E402C8F" w:rsidR="008C7D31" w:rsidRDefault="008274E0" w:rsidP="1F14B622">
      <w:pPr>
        <w:spacing w:after="0"/>
        <w:rPr>
          <w:highlight w:val="yellow"/>
          <w:lang w:val="en-US" w:eastAsia="zh-CN"/>
        </w:rPr>
      </w:pPr>
      <w:r>
        <w:rPr>
          <w:lang w:val="en-US"/>
        </w:rPr>
        <w:t xml:space="preserve"> </w:t>
      </w:r>
    </w:p>
    <w:p w14:paraId="49820E48" w14:textId="1178DCDC" w:rsidR="00BA250B" w:rsidRPr="00BA250B" w:rsidRDefault="00BA250B" w:rsidP="00BA250B">
      <w:pPr>
        <w:rPr>
          <w:lang w:val="en-US"/>
        </w:rPr>
      </w:pPr>
    </w:p>
    <w:bookmarkEnd w:id="2"/>
    <w:bookmarkEnd w:id="3"/>
    <w:bookmarkEnd w:id="4"/>
    <w:p w14:paraId="10445A01" w14:textId="65BF2491" w:rsidR="00885580" w:rsidRDefault="007820D0" w:rsidP="00885580">
      <w:pPr>
        <w:pStyle w:val="Heading1"/>
      </w:pPr>
      <w:r>
        <w:lastRenderedPageBreak/>
        <w:t>Conclusion</w:t>
      </w:r>
    </w:p>
    <w:p w14:paraId="3D5BC62E" w14:textId="3ACC3C10"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existing</w:t>
      </w:r>
      <w:r w:rsidR="001F5B76">
        <w:rPr>
          <w:rStyle w:val="normaltextrun"/>
        </w:rPr>
        <w:t xml:space="preserve"> SBFD</w:t>
      </w:r>
      <w:r w:rsidR="00DF7A76">
        <w:rPr>
          <w:rStyle w:val="normaltextrun"/>
        </w:rPr>
        <w:t xml:space="preserve"> </w:t>
      </w:r>
      <w:r w:rsidR="007B0B72">
        <w:rPr>
          <w:rStyle w:val="normaltextrun"/>
        </w:rPr>
        <w:t xml:space="preserve">BS RF </w:t>
      </w:r>
      <w:r w:rsidR="00323469">
        <w:rPr>
          <w:rStyle w:val="normaltextrun"/>
        </w:rPr>
        <w:t xml:space="preserve">Tx </w:t>
      </w:r>
      <w:r w:rsidR="007B0B72">
        <w:rPr>
          <w:rStyle w:val="normaltextrun"/>
        </w:rPr>
        <w:t xml:space="preserve">requirements </w:t>
      </w:r>
      <w:r w:rsidR="00E521D5">
        <w:rPr>
          <w:rStyle w:val="normaltextrun"/>
        </w:rPr>
        <w:t>are presented</w:t>
      </w:r>
      <w:r w:rsidR="00495535">
        <w:rPr>
          <w:rStyle w:val="normaltextrun"/>
        </w:rPr>
        <w:t xml:space="preserve">. </w:t>
      </w:r>
      <w:r w:rsidR="004A7D37">
        <w:rPr>
          <w:rStyle w:val="normaltextrun"/>
        </w:rPr>
        <w:t>O</w:t>
      </w:r>
      <w:r w:rsidR="00F36CFF">
        <w:rPr>
          <w:rStyle w:val="normaltextrun"/>
        </w:rPr>
        <w:t xml:space="preserve">ur </w:t>
      </w:r>
      <w:r w:rsidR="008E583C">
        <w:rPr>
          <w:rStyle w:val="normaltextrun"/>
        </w:rPr>
        <w:t>proposal</w:t>
      </w:r>
      <w:r w:rsidR="0053481F">
        <w:rPr>
          <w:rStyle w:val="normaltextrun"/>
        </w:rPr>
        <w:t>s</w:t>
      </w:r>
      <w:r w:rsidR="005B7F2A">
        <w:rPr>
          <w:rStyle w:val="normaltextrun"/>
        </w:rPr>
        <w:t xml:space="preserve"> </w:t>
      </w:r>
      <w:r w:rsidR="0053481F">
        <w:rPr>
          <w:rStyle w:val="normaltextrun"/>
        </w:rPr>
        <w:t>are</w:t>
      </w:r>
      <w:r w:rsidR="004A7D37">
        <w:rPr>
          <w:rStyle w:val="normaltextrun"/>
        </w:rPr>
        <w:t xml:space="preserve"> </w:t>
      </w:r>
      <w:r w:rsidR="005B7F2A">
        <w:rPr>
          <w:rStyle w:val="normaltextrun"/>
        </w:rPr>
        <w:t>listed below.</w:t>
      </w:r>
    </w:p>
    <w:p w14:paraId="7F1B0D42" w14:textId="57D17433" w:rsidR="00667DC6" w:rsidRDefault="00667DC6" w:rsidP="00667DC6">
      <w:pPr>
        <w:pStyle w:val="Proposal"/>
        <w:numPr>
          <w:ilvl w:val="0"/>
          <w:numId w:val="31"/>
        </w:numPr>
      </w:pPr>
      <w:r>
        <w:t xml:space="preserve"> </w:t>
      </w:r>
      <w:proofErr w:type="gramStart"/>
      <w:r w:rsidR="00D12E88" w:rsidRPr="00D12E88">
        <w:t>SBFD</w:t>
      </w:r>
      <w:proofErr w:type="gramEnd"/>
      <w:r w:rsidR="00D12E88" w:rsidRPr="00D12E88">
        <w:t>-SBFD co-ex case should not be in the scope of Rel-19</w:t>
      </w:r>
      <w:r>
        <w:t>.</w:t>
      </w:r>
    </w:p>
    <w:p w14:paraId="72E8D643" w14:textId="64A765A2" w:rsidR="000D422C" w:rsidRDefault="006B7DBC" w:rsidP="006B7DBC">
      <w:pPr>
        <w:pStyle w:val="Proposal"/>
      </w:pPr>
      <w:r>
        <w:t xml:space="preserve"> </w:t>
      </w:r>
      <w:r w:rsidR="00330D4A">
        <w:t xml:space="preserve">EVM is calculated on SBFD symbols only. Symbols used for </w:t>
      </w:r>
      <w:r w:rsidR="00330D4A" w:rsidRPr="0033193F">
        <w:t>guard period and uplink symbols</w:t>
      </w:r>
      <w:r w:rsidR="00330D4A">
        <w:t xml:space="preserve"> are not included in EVM calculation</w:t>
      </w:r>
      <w:r w:rsidR="000D422C">
        <w:t>.</w:t>
      </w:r>
    </w:p>
    <w:p w14:paraId="42AF9FAB" w14:textId="3C355E00" w:rsidR="006B7DBC" w:rsidRDefault="00855853" w:rsidP="006B7DBC">
      <w:pPr>
        <w:pStyle w:val="Proposal"/>
      </w:pPr>
      <w:r>
        <w:t xml:space="preserve"> </w:t>
      </w:r>
      <w:r w:rsidR="00D866E2">
        <w:t xml:space="preserve">EVM calculation in Annex B.7 can be updated as proposed </w:t>
      </w:r>
      <w:proofErr w:type="gramStart"/>
      <w:r w:rsidR="00D866E2">
        <w:t>in</w:t>
      </w:r>
      <w:proofErr w:type="gramEnd"/>
      <w:r w:rsidR="00D866E2">
        <w:t xml:space="preserve"> </w:t>
      </w:r>
      <w:r w:rsidR="008707CA">
        <w:rPr>
          <w:lang w:val="en-GB"/>
        </w:rPr>
        <w:t>the way forward</w:t>
      </w:r>
      <w:r w:rsidR="006B7DBC">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426AA340" w:rsidR="00B608A9" w:rsidRDefault="005D4B48" w:rsidP="00E3770E">
      <w:pPr>
        <w:pStyle w:val="ListParagraph"/>
        <w:numPr>
          <w:ilvl w:val="0"/>
          <w:numId w:val="4"/>
        </w:numPr>
        <w:jc w:val="both"/>
        <w:rPr>
          <w:sz w:val="20"/>
          <w:szCs w:val="20"/>
          <w:lang w:val="en-US"/>
        </w:rPr>
      </w:pPr>
      <w:r w:rsidRPr="00310025">
        <w:rPr>
          <w:sz w:val="20"/>
          <w:szCs w:val="20"/>
          <w:lang w:val="en-US"/>
        </w:rPr>
        <w:t>R4-250</w:t>
      </w:r>
      <w:r>
        <w:rPr>
          <w:sz w:val="20"/>
          <w:szCs w:val="20"/>
          <w:lang w:val="en-US"/>
        </w:rPr>
        <w:t>4752</w:t>
      </w:r>
      <w:r w:rsidRPr="00310025">
        <w:rPr>
          <w:sz w:val="20"/>
          <w:szCs w:val="20"/>
          <w:lang w:val="en-US"/>
        </w:rPr>
        <w:t xml:space="preserve"> “Way Forward for [114</w:t>
      </w:r>
      <w:r>
        <w:rPr>
          <w:sz w:val="20"/>
          <w:szCs w:val="20"/>
          <w:lang w:val="en-US"/>
        </w:rPr>
        <w:t>bis</w:t>
      </w:r>
      <w:r w:rsidRPr="00310025">
        <w:rPr>
          <w:sz w:val="20"/>
          <w:szCs w:val="20"/>
          <w:lang w:val="en-US"/>
        </w:rPr>
        <w:t>][30</w:t>
      </w:r>
      <w:r>
        <w:rPr>
          <w:sz w:val="20"/>
          <w:szCs w:val="20"/>
          <w:lang w:val="en-US"/>
        </w:rPr>
        <w:t>7</w:t>
      </w:r>
      <w:r w:rsidRPr="00310025">
        <w:rPr>
          <w:sz w:val="20"/>
          <w:szCs w:val="20"/>
          <w:lang w:val="en-US"/>
        </w:rPr>
        <w:t>] NR_duplex_evo_</w:t>
      </w:r>
      <w:r>
        <w:rPr>
          <w:sz w:val="20"/>
          <w:szCs w:val="20"/>
          <w:lang w:val="en-US"/>
        </w:rPr>
        <w:t>BSRF</w:t>
      </w:r>
      <w:r w:rsidRPr="00310025">
        <w:rPr>
          <w:sz w:val="20"/>
          <w:szCs w:val="20"/>
          <w:lang w:val="en-US"/>
        </w:rPr>
        <w:t>”, RAN4#114</w:t>
      </w:r>
      <w:r>
        <w:rPr>
          <w:sz w:val="20"/>
          <w:szCs w:val="20"/>
          <w:lang w:val="en-US"/>
        </w:rPr>
        <w:t>bis</w:t>
      </w:r>
      <w:r w:rsidRPr="00310025">
        <w:rPr>
          <w:sz w:val="20"/>
          <w:szCs w:val="20"/>
          <w:lang w:val="en-US"/>
        </w:rPr>
        <w:t xml:space="preserve">, </w:t>
      </w:r>
      <w:r>
        <w:rPr>
          <w:sz w:val="20"/>
          <w:szCs w:val="20"/>
          <w:lang w:val="en-US"/>
        </w:rPr>
        <w:t>Wuhan</w:t>
      </w:r>
      <w:r w:rsidRPr="00310025">
        <w:rPr>
          <w:sz w:val="20"/>
          <w:szCs w:val="20"/>
          <w:lang w:val="en-US"/>
        </w:rPr>
        <w:t xml:space="preserve">, </w:t>
      </w:r>
      <w:r>
        <w:rPr>
          <w:sz w:val="20"/>
          <w:szCs w:val="20"/>
          <w:lang w:val="en-US"/>
        </w:rPr>
        <w:t>China</w:t>
      </w:r>
      <w:r w:rsidRPr="00310025">
        <w:rPr>
          <w:sz w:val="20"/>
          <w:szCs w:val="20"/>
          <w:lang w:val="en-US"/>
        </w:rPr>
        <w:t>, 7</w:t>
      </w:r>
      <w:r w:rsidRPr="00310025">
        <w:rPr>
          <w:sz w:val="20"/>
          <w:szCs w:val="20"/>
          <w:vertAlign w:val="superscript"/>
          <w:lang w:val="en-US"/>
        </w:rPr>
        <w:t>th</w:t>
      </w:r>
      <w:r w:rsidRPr="00310025">
        <w:rPr>
          <w:sz w:val="20"/>
          <w:szCs w:val="20"/>
          <w:lang w:val="en-US"/>
        </w:rPr>
        <w:t>-</w:t>
      </w:r>
      <w:r>
        <w:rPr>
          <w:sz w:val="20"/>
          <w:szCs w:val="20"/>
          <w:lang w:val="en-US"/>
        </w:rPr>
        <w:t>1</w:t>
      </w:r>
      <w:r w:rsidRPr="00310025">
        <w:rPr>
          <w:sz w:val="20"/>
          <w:szCs w:val="20"/>
          <w:lang w:val="en-US"/>
        </w:rPr>
        <w:t>1</w:t>
      </w:r>
      <w:r w:rsidRPr="00310025">
        <w:rPr>
          <w:sz w:val="20"/>
          <w:szCs w:val="20"/>
          <w:vertAlign w:val="superscript"/>
          <w:lang w:val="en-US"/>
        </w:rPr>
        <w:t>t</w:t>
      </w:r>
      <w:r>
        <w:rPr>
          <w:sz w:val="20"/>
          <w:szCs w:val="20"/>
          <w:vertAlign w:val="superscript"/>
          <w:lang w:val="en-US"/>
        </w:rPr>
        <w:t>h</w:t>
      </w:r>
      <w:r w:rsidRPr="00310025">
        <w:rPr>
          <w:sz w:val="20"/>
          <w:szCs w:val="20"/>
          <w:lang w:val="en-US"/>
        </w:rPr>
        <w:t xml:space="preserve"> </w:t>
      </w:r>
      <w:proofErr w:type="gramStart"/>
      <w:r>
        <w:rPr>
          <w:sz w:val="20"/>
          <w:szCs w:val="20"/>
          <w:lang w:val="en-US"/>
        </w:rPr>
        <w:t>April</w:t>
      </w:r>
      <w:r w:rsidRPr="00310025">
        <w:rPr>
          <w:sz w:val="20"/>
          <w:szCs w:val="20"/>
          <w:lang w:val="en-US"/>
        </w:rPr>
        <w:t>,</w:t>
      </w:r>
      <w:proofErr w:type="gramEnd"/>
      <w:r w:rsidRPr="00310025">
        <w:rPr>
          <w:sz w:val="20"/>
          <w:szCs w:val="20"/>
          <w:lang w:val="en-US"/>
        </w:rPr>
        <w:t xml:space="preserve"> 2025</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F20D5" w14:textId="77777777" w:rsidR="0092627F" w:rsidRDefault="0092627F">
      <w:r>
        <w:separator/>
      </w:r>
    </w:p>
  </w:endnote>
  <w:endnote w:type="continuationSeparator" w:id="0">
    <w:p w14:paraId="001ECE44" w14:textId="77777777" w:rsidR="0092627F" w:rsidRDefault="0092627F">
      <w:r>
        <w:continuationSeparator/>
      </w:r>
    </w:p>
  </w:endnote>
  <w:endnote w:type="continuationNotice" w:id="1">
    <w:p w14:paraId="5DE48684" w14:textId="77777777" w:rsidR="0092627F" w:rsidRDefault="00926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Yu Gothic"/>
    <w:charset w:val="80"/>
    <w:family w:val="auto"/>
    <w:pitch w:val="default"/>
    <w:sig w:usb0="00000000" w:usb1="0000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1E04" w14:textId="77777777" w:rsidR="0092627F" w:rsidRDefault="0092627F">
      <w:r>
        <w:separator/>
      </w:r>
    </w:p>
  </w:footnote>
  <w:footnote w:type="continuationSeparator" w:id="0">
    <w:p w14:paraId="53C3EBCA" w14:textId="77777777" w:rsidR="0092627F" w:rsidRDefault="0092627F">
      <w:r>
        <w:continuationSeparator/>
      </w:r>
    </w:p>
  </w:footnote>
  <w:footnote w:type="continuationNotice" w:id="1">
    <w:p w14:paraId="20C88A11" w14:textId="77777777" w:rsidR="0092627F" w:rsidRDefault="009262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310120"/>
    <w:multiLevelType w:val="hybridMultilevel"/>
    <w:tmpl w:val="6548FCF8"/>
    <w:lvl w:ilvl="0" w:tplc="43D6B39C">
      <w:start w:val="1"/>
      <w:numFmt w:val="decimal"/>
      <w:pStyle w:val="Proposal"/>
      <w:lvlText w:val="Proposal %1:"/>
      <w:lvlJc w:val="left"/>
      <w:pPr>
        <w:ind w:left="502" w:hanging="360"/>
      </w:pPr>
      <w:rPr>
        <w:rFonts w:ascii="Times New Roman" w:hAnsi="Times New Roman" w:cs="Times New Roman" w:hint="default"/>
        <w:b/>
        <w:bCs w:val="0"/>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3"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71E11E37"/>
    <w:multiLevelType w:val="hybridMultilevel"/>
    <w:tmpl w:val="8EC0C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10"/>
  </w:num>
  <w:num w:numId="6" w16cid:durableId="25981799">
    <w:abstractNumId w:val="0"/>
  </w:num>
  <w:num w:numId="7" w16cid:durableId="1337535716">
    <w:abstractNumId w:val="5"/>
  </w:num>
  <w:num w:numId="8" w16cid:durableId="1847163962">
    <w:abstractNumId w:val="22"/>
  </w:num>
  <w:num w:numId="9" w16cid:durableId="933249585">
    <w:abstractNumId w:val="2"/>
  </w:num>
  <w:num w:numId="10" w16cid:durableId="664356833">
    <w:abstractNumId w:val="19"/>
  </w:num>
  <w:num w:numId="11" w16cid:durableId="80681869">
    <w:abstractNumId w:val="9"/>
  </w:num>
  <w:num w:numId="12" w16cid:durableId="1566528953">
    <w:abstractNumId w:val="13"/>
  </w:num>
  <w:num w:numId="13" w16cid:durableId="350642282">
    <w:abstractNumId w:val="23"/>
  </w:num>
  <w:num w:numId="14" w16cid:durableId="847522526">
    <w:abstractNumId w:val="18"/>
  </w:num>
  <w:num w:numId="15" w16cid:durableId="1088382487">
    <w:abstractNumId w:val="14"/>
  </w:num>
  <w:num w:numId="16" w16cid:durableId="1704941057">
    <w:abstractNumId w:val="11"/>
  </w:num>
  <w:num w:numId="17" w16cid:durableId="1563833022">
    <w:abstractNumId w:val="10"/>
    <w:lvlOverride w:ilvl="0">
      <w:startOverride w:val="1"/>
    </w:lvlOverride>
  </w:num>
  <w:num w:numId="18" w16cid:durableId="89473635">
    <w:abstractNumId w:val="0"/>
    <w:lvlOverride w:ilvl="0">
      <w:startOverride w:val="1"/>
    </w:lvlOverride>
  </w:num>
  <w:num w:numId="19" w16cid:durableId="1034575152">
    <w:abstractNumId w:val="16"/>
  </w:num>
  <w:num w:numId="20" w16cid:durableId="409928289">
    <w:abstractNumId w:val="3"/>
  </w:num>
  <w:num w:numId="21" w16cid:durableId="510799493">
    <w:abstractNumId w:val="15"/>
  </w:num>
  <w:num w:numId="22" w16cid:durableId="2036300277">
    <w:abstractNumId w:val="10"/>
  </w:num>
  <w:num w:numId="23" w16cid:durableId="1096251784">
    <w:abstractNumId w:val="10"/>
  </w:num>
  <w:num w:numId="24" w16cid:durableId="1440881184">
    <w:abstractNumId w:val="10"/>
  </w:num>
  <w:num w:numId="25" w16cid:durableId="2002394159">
    <w:abstractNumId w:val="12"/>
  </w:num>
  <w:num w:numId="26" w16cid:durableId="511989292">
    <w:abstractNumId w:val="0"/>
    <w:lvlOverride w:ilvl="0">
      <w:startOverride w:val="1"/>
    </w:lvlOverride>
  </w:num>
  <w:num w:numId="27" w16cid:durableId="886257688">
    <w:abstractNumId w:val="6"/>
  </w:num>
  <w:num w:numId="28" w16cid:durableId="734544436">
    <w:abstractNumId w:val="0"/>
  </w:num>
  <w:num w:numId="29" w16cid:durableId="1458570208">
    <w:abstractNumId w:val="0"/>
    <w:lvlOverride w:ilvl="0">
      <w:startOverride w:val="1"/>
    </w:lvlOverride>
  </w:num>
  <w:num w:numId="30" w16cid:durableId="1412460681">
    <w:abstractNumId w:val="21"/>
  </w:num>
  <w:num w:numId="31" w16cid:durableId="1102610283">
    <w:abstractNumId w:val="10"/>
    <w:lvlOverride w:ilvl="0">
      <w:startOverride w:val="1"/>
    </w:lvlOverride>
  </w:num>
  <w:num w:numId="32" w16cid:durableId="1977174901">
    <w:abstractNumId w:val="20"/>
  </w:num>
  <w:num w:numId="33" w16cid:durableId="1646928537">
    <w:abstractNumId w:val="20"/>
  </w:num>
  <w:num w:numId="34" w16cid:durableId="1315837807">
    <w:abstractNumId w:val="16"/>
  </w:num>
  <w:num w:numId="35" w16cid:durableId="895773334">
    <w:abstractNumId w:val="16"/>
  </w:num>
  <w:num w:numId="36" w16cid:durableId="1145195919">
    <w:abstractNumId w:val="17"/>
  </w:num>
  <w:num w:numId="37" w16cid:durableId="12577891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CA1"/>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23"/>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9A9"/>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158"/>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3E9"/>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48"/>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9C"/>
    <w:rsid w:val="000654A0"/>
    <w:rsid w:val="0006593B"/>
    <w:rsid w:val="00065A69"/>
    <w:rsid w:val="00065E94"/>
    <w:rsid w:val="00065F20"/>
    <w:rsid w:val="00066067"/>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78E"/>
    <w:rsid w:val="00076D82"/>
    <w:rsid w:val="00077B1B"/>
    <w:rsid w:val="00077C0F"/>
    <w:rsid w:val="00077FD6"/>
    <w:rsid w:val="0008007F"/>
    <w:rsid w:val="00080294"/>
    <w:rsid w:val="00080BBE"/>
    <w:rsid w:val="00080BFC"/>
    <w:rsid w:val="000819FC"/>
    <w:rsid w:val="00081EC2"/>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08"/>
    <w:rsid w:val="000856C4"/>
    <w:rsid w:val="00085854"/>
    <w:rsid w:val="00085E6A"/>
    <w:rsid w:val="00086856"/>
    <w:rsid w:val="00086D71"/>
    <w:rsid w:val="00086DB5"/>
    <w:rsid w:val="00086FD6"/>
    <w:rsid w:val="000872B9"/>
    <w:rsid w:val="00087313"/>
    <w:rsid w:val="000873EA"/>
    <w:rsid w:val="0008743B"/>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93"/>
    <w:rsid w:val="000910D0"/>
    <w:rsid w:val="000913A1"/>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65"/>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7F8"/>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5E5"/>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22C"/>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43B"/>
    <w:rsid w:val="000E181D"/>
    <w:rsid w:val="000E1FD6"/>
    <w:rsid w:val="000E23F3"/>
    <w:rsid w:val="000E2557"/>
    <w:rsid w:val="000E27AA"/>
    <w:rsid w:val="000E2B98"/>
    <w:rsid w:val="000E2C8D"/>
    <w:rsid w:val="000E2C9E"/>
    <w:rsid w:val="000E2D22"/>
    <w:rsid w:val="000E2E03"/>
    <w:rsid w:val="000E313B"/>
    <w:rsid w:val="000E31C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E7FF6"/>
    <w:rsid w:val="000F0016"/>
    <w:rsid w:val="000F0224"/>
    <w:rsid w:val="000F07F1"/>
    <w:rsid w:val="000F084C"/>
    <w:rsid w:val="000F0EA1"/>
    <w:rsid w:val="000F0F1D"/>
    <w:rsid w:val="000F1130"/>
    <w:rsid w:val="000F1573"/>
    <w:rsid w:val="000F15B2"/>
    <w:rsid w:val="000F1890"/>
    <w:rsid w:val="000F19DE"/>
    <w:rsid w:val="000F1A3F"/>
    <w:rsid w:val="000F1B3C"/>
    <w:rsid w:val="000F1F3D"/>
    <w:rsid w:val="000F216B"/>
    <w:rsid w:val="000F252B"/>
    <w:rsid w:val="000F2686"/>
    <w:rsid w:val="000F2B39"/>
    <w:rsid w:val="000F2C15"/>
    <w:rsid w:val="000F2E1F"/>
    <w:rsid w:val="000F314D"/>
    <w:rsid w:val="000F322B"/>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A8D"/>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3C5"/>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458"/>
    <w:rsid w:val="001177DC"/>
    <w:rsid w:val="0011784B"/>
    <w:rsid w:val="00117C8C"/>
    <w:rsid w:val="00117E52"/>
    <w:rsid w:val="001204DD"/>
    <w:rsid w:val="00120B3E"/>
    <w:rsid w:val="00121846"/>
    <w:rsid w:val="00121909"/>
    <w:rsid w:val="00121A33"/>
    <w:rsid w:val="00121DB3"/>
    <w:rsid w:val="0012234F"/>
    <w:rsid w:val="001223CA"/>
    <w:rsid w:val="00122839"/>
    <w:rsid w:val="00122A42"/>
    <w:rsid w:val="00122A46"/>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993"/>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5E"/>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343"/>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353"/>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431"/>
    <w:rsid w:val="0015154A"/>
    <w:rsid w:val="0015174A"/>
    <w:rsid w:val="00151933"/>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8F6"/>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C41"/>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C41"/>
    <w:rsid w:val="00185D57"/>
    <w:rsid w:val="00185E36"/>
    <w:rsid w:val="00185E89"/>
    <w:rsid w:val="001862F5"/>
    <w:rsid w:val="0018665C"/>
    <w:rsid w:val="0018683F"/>
    <w:rsid w:val="001868F2"/>
    <w:rsid w:val="00186904"/>
    <w:rsid w:val="00186A20"/>
    <w:rsid w:val="00186A60"/>
    <w:rsid w:val="00186B0A"/>
    <w:rsid w:val="001871E2"/>
    <w:rsid w:val="00187512"/>
    <w:rsid w:val="001875F3"/>
    <w:rsid w:val="00187978"/>
    <w:rsid w:val="00187A0A"/>
    <w:rsid w:val="0019022D"/>
    <w:rsid w:val="00190348"/>
    <w:rsid w:val="001905BD"/>
    <w:rsid w:val="001906B9"/>
    <w:rsid w:val="001907F2"/>
    <w:rsid w:val="00190C6A"/>
    <w:rsid w:val="0019109A"/>
    <w:rsid w:val="00191494"/>
    <w:rsid w:val="001915C7"/>
    <w:rsid w:val="001917AF"/>
    <w:rsid w:val="001919E9"/>
    <w:rsid w:val="00191A11"/>
    <w:rsid w:val="00191E79"/>
    <w:rsid w:val="00191FC9"/>
    <w:rsid w:val="00192400"/>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99C"/>
    <w:rsid w:val="001A5BB8"/>
    <w:rsid w:val="001A5C7B"/>
    <w:rsid w:val="001A5E19"/>
    <w:rsid w:val="001A5E57"/>
    <w:rsid w:val="001A63D8"/>
    <w:rsid w:val="001A67E0"/>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C7DC6"/>
    <w:rsid w:val="001D04D0"/>
    <w:rsid w:val="001D0966"/>
    <w:rsid w:val="001D0C0A"/>
    <w:rsid w:val="001D10D6"/>
    <w:rsid w:val="001D114D"/>
    <w:rsid w:val="001D136C"/>
    <w:rsid w:val="001D172A"/>
    <w:rsid w:val="001D1B43"/>
    <w:rsid w:val="001D1CF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BF"/>
    <w:rsid w:val="001D4ACB"/>
    <w:rsid w:val="001D4B9A"/>
    <w:rsid w:val="001D4C94"/>
    <w:rsid w:val="001D4DA0"/>
    <w:rsid w:val="001D4F61"/>
    <w:rsid w:val="001D50C2"/>
    <w:rsid w:val="001D5379"/>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0D5"/>
    <w:rsid w:val="00200310"/>
    <w:rsid w:val="00200561"/>
    <w:rsid w:val="002008CE"/>
    <w:rsid w:val="00200B80"/>
    <w:rsid w:val="00200C3F"/>
    <w:rsid w:val="00200F2C"/>
    <w:rsid w:val="00201028"/>
    <w:rsid w:val="002012F7"/>
    <w:rsid w:val="00201826"/>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9BC"/>
    <w:rsid w:val="00206A57"/>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4C2"/>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14"/>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DCF"/>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197"/>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1ED"/>
    <w:rsid w:val="00252386"/>
    <w:rsid w:val="002527B3"/>
    <w:rsid w:val="00252816"/>
    <w:rsid w:val="00252C17"/>
    <w:rsid w:val="00252C9C"/>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4F11"/>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B05"/>
    <w:rsid w:val="00275ECF"/>
    <w:rsid w:val="00276045"/>
    <w:rsid w:val="002763E9"/>
    <w:rsid w:val="002763FE"/>
    <w:rsid w:val="00276431"/>
    <w:rsid w:val="002764AD"/>
    <w:rsid w:val="00276736"/>
    <w:rsid w:val="0027690F"/>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82C"/>
    <w:rsid w:val="0029495B"/>
    <w:rsid w:val="00294B4D"/>
    <w:rsid w:val="00294B5D"/>
    <w:rsid w:val="0029512C"/>
    <w:rsid w:val="002952C6"/>
    <w:rsid w:val="0029537E"/>
    <w:rsid w:val="00295487"/>
    <w:rsid w:val="002954EC"/>
    <w:rsid w:val="002957E8"/>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61"/>
    <w:rsid w:val="002B18B3"/>
    <w:rsid w:val="002B216F"/>
    <w:rsid w:val="002B2390"/>
    <w:rsid w:val="002B2642"/>
    <w:rsid w:val="002B2813"/>
    <w:rsid w:val="002B29AD"/>
    <w:rsid w:val="002B2A6B"/>
    <w:rsid w:val="002B2D29"/>
    <w:rsid w:val="002B2F4A"/>
    <w:rsid w:val="002B309E"/>
    <w:rsid w:val="002B3371"/>
    <w:rsid w:val="002B3699"/>
    <w:rsid w:val="002B3792"/>
    <w:rsid w:val="002B37A6"/>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A42"/>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402"/>
    <w:rsid w:val="002C2738"/>
    <w:rsid w:val="002C2978"/>
    <w:rsid w:val="002C2F93"/>
    <w:rsid w:val="002C3049"/>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2D"/>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878"/>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1D4"/>
    <w:rsid w:val="002F623A"/>
    <w:rsid w:val="002F649C"/>
    <w:rsid w:val="002F687C"/>
    <w:rsid w:val="002F695B"/>
    <w:rsid w:val="002F6A6D"/>
    <w:rsid w:val="002F6B63"/>
    <w:rsid w:val="002F6C49"/>
    <w:rsid w:val="002F6D8B"/>
    <w:rsid w:val="002F6DF7"/>
    <w:rsid w:val="002F6E1C"/>
    <w:rsid w:val="002F6F5C"/>
    <w:rsid w:val="002F6FAB"/>
    <w:rsid w:val="002F72DA"/>
    <w:rsid w:val="002F74EC"/>
    <w:rsid w:val="002F7600"/>
    <w:rsid w:val="002F76B1"/>
    <w:rsid w:val="002F7D66"/>
    <w:rsid w:val="002F7DBE"/>
    <w:rsid w:val="00300209"/>
    <w:rsid w:val="00300481"/>
    <w:rsid w:val="00300645"/>
    <w:rsid w:val="003007EF"/>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2EF3"/>
    <w:rsid w:val="00313881"/>
    <w:rsid w:val="0031393C"/>
    <w:rsid w:val="00313CB0"/>
    <w:rsid w:val="00313E38"/>
    <w:rsid w:val="00313E39"/>
    <w:rsid w:val="00313F96"/>
    <w:rsid w:val="003141D0"/>
    <w:rsid w:val="00314927"/>
    <w:rsid w:val="00314B0A"/>
    <w:rsid w:val="00314B76"/>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6F5"/>
    <w:rsid w:val="003218B1"/>
    <w:rsid w:val="00321B2C"/>
    <w:rsid w:val="00321EDA"/>
    <w:rsid w:val="00321F01"/>
    <w:rsid w:val="003224AA"/>
    <w:rsid w:val="003224E7"/>
    <w:rsid w:val="00322730"/>
    <w:rsid w:val="00322CE5"/>
    <w:rsid w:val="00322D16"/>
    <w:rsid w:val="00322E34"/>
    <w:rsid w:val="00323016"/>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31A"/>
    <w:rsid w:val="00327460"/>
    <w:rsid w:val="00327531"/>
    <w:rsid w:val="00327C8C"/>
    <w:rsid w:val="00330056"/>
    <w:rsid w:val="00330187"/>
    <w:rsid w:val="003307F8"/>
    <w:rsid w:val="00330BAE"/>
    <w:rsid w:val="00330D4A"/>
    <w:rsid w:val="00330D85"/>
    <w:rsid w:val="00330E3E"/>
    <w:rsid w:val="00330E58"/>
    <w:rsid w:val="00331280"/>
    <w:rsid w:val="0033168D"/>
    <w:rsid w:val="00331727"/>
    <w:rsid w:val="00331791"/>
    <w:rsid w:val="0033193F"/>
    <w:rsid w:val="00331C77"/>
    <w:rsid w:val="00331D34"/>
    <w:rsid w:val="00331DB6"/>
    <w:rsid w:val="00331F96"/>
    <w:rsid w:val="003321C6"/>
    <w:rsid w:val="0033220D"/>
    <w:rsid w:val="00332B55"/>
    <w:rsid w:val="00332C88"/>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71A"/>
    <w:rsid w:val="00341947"/>
    <w:rsid w:val="00341A79"/>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62"/>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9A1"/>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DAC"/>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C74"/>
    <w:rsid w:val="00367FD8"/>
    <w:rsid w:val="0037004E"/>
    <w:rsid w:val="00370348"/>
    <w:rsid w:val="0037069D"/>
    <w:rsid w:val="00370939"/>
    <w:rsid w:val="00370B63"/>
    <w:rsid w:val="00370FCC"/>
    <w:rsid w:val="00371034"/>
    <w:rsid w:val="003711AF"/>
    <w:rsid w:val="0037141C"/>
    <w:rsid w:val="00371753"/>
    <w:rsid w:val="00371876"/>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41"/>
    <w:rsid w:val="00374AFD"/>
    <w:rsid w:val="0037549A"/>
    <w:rsid w:val="003756C3"/>
    <w:rsid w:val="003757A1"/>
    <w:rsid w:val="003758AE"/>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4"/>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E23"/>
    <w:rsid w:val="003A10C3"/>
    <w:rsid w:val="003A1168"/>
    <w:rsid w:val="003A116D"/>
    <w:rsid w:val="003A1207"/>
    <w:rsid w:val="003A17F8"/>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668"/>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184"/>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3B23"/>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AEA"/>
    <w:rsid w:val="00430CF9"/>
    <w:rsid w:val="0043106D"/>
    <w:rsid w:val="004310B2"/>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3B0"/>
    <w:rsid w:val="00434406"/>
    <w:rsid w:val="00434797"/>
    <w:rsid w:val="00434E17"/>
    <w:rsid w:val="00434EF8"/>
    <w:rsid w:val="0043544C"/>
    <w:rsid w:val="004356D4"/>
    <w:rsid w:val="00435A6E"/>
    <w:rsid w:val="00435B89"/>
    <w:rsid w:val="004365CF"/>
    <w:rsid w:val="004366C4"/>
    <w:rsid w:val="00436735"/>
    <w:rsid w:val="004367C2"/>
    <w:rsid w:val="00436F92"/>
    <w:rsid w:val="004371DD"/>
    <w:rsid w:val="004372F6"/>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0B2"/>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6BAC"/>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1A"/>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6B4"/>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6B0"/>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65"/>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6F1"/>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241"/>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88"/>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B8E"/>
    <w:rsid w:val="00497C6C"/>
    <w:rsid w:val="00497CD9"/>
    <w:rsid w:val="00497DD7"/>
    <w:rsid w:val="00497E50"/>
    <w:rsid w:val="00497E74"/>
    <w:rsid w:val="00497EEF"/>
    <w:rsid w:val="00497F58"/>
    <w:rsid w:val="00497FA6"/>
    <w:rsid w:val="004A014C"/>
    <w:rsid w:val="004A01F7"/>
    <w:rsid w:val="004A05AA"/>
    <w:rsid w:val="004A0848"/>
    <w:rsid w:val="004A0AA8"/>
    <w:rsid w:val="004A151E"/>
    <w:rsid w:val="004A163D"/>
    <w:rsid w:val="004A1795"/>
    <w:rsid w:val="004A1AC2"/>
    <w:rsid w:val="004A1CCD"/>
    <w:rsid w:val="004A1DC7"/>
    <w:rsid w:val="004A1E6B"/>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621"/>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3F8F"/>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142"/>
    <w:rsid w:val="004D24CB"/>
    <w:rsid w:val="004D2629"/>
    <w:rsid w:val="004D26B8"/>
    <w:rsid w:val="004D29C4"/>
    <w:rsid w:val="004D2A22"/>
    <w:rsid w:val="004D2B3A"/>
    <w:rsid w:val="004D2C2C"/>
    <w:rsid w:val="004D2D8D"/>
    <w:rsid w:val="004D3503"/>
    <w:rsid w:val="004D38C2"/>
    <w:rsid w:val="004D39BA"/>
    <w:rsid w:val="004D4146"/>
    <w:rsid w:val="004D41DC"/>
    <w:rsid w:val="004D429D"/>
    <w:rsid w:val="004D4EF9"/>
    <w:rsid w:val="004D4FBD"/>
    <w:rsid w:val="004D4FC0"/>
    <w:rsid w:val="004D537E"/>
    <w:rsid w:val="004D55A4"/>
    <w:rsid w:val="004D571D"/>
    <w:rsid w:val="004D575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432"/>
    <w:rsid w:val="004E563A"/>
    <w:rsid w:val="004E5983"/>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91"/>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24"/>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7FD"/>
    <w:rsid w:val="005169CC"/>
    <w:rsid w:val="00516BDB"/>
    <w:rsid w:val="00516C8A"/>
    <w:rsid w:val="00516F0C"/>
    <w:rsid w:val="00516FD9"/>
    <w:rsid w:val="0051701F"/>
    <w:rsid w:val="005172A4"/>
    <w:rsid w:val="00517522"/>
    <w:rsid w:val="0051791D"/>
    <w:rsid w:val="00517A2E"/>
    <w:rsid w:val="005202D4"/>
    <w:rsid w:val="005206E1"/>
    <w:rsid w:val="00520A86"/>
    <w:rsid w:val="00520D6D"/>
    <w:rsid w:val="00520DCB"/>
    <w:rsid w:val="00520E14"/>
    <w:rsid w:val="00520FD7"/>
    <w:rsid w:val="005212FD"/>
    <w:rsid w:val="0052134B"/>
    <w:rsid w:val="00521425"/>
    <w:rsid w:val="0052144A"/>
    <w:rsid w:val="005216D0"/>
    <w:rsid w:val="0052187C"/>
    <w:rsid w:val="005218A2"/>
    <w:rsid w:val="00521CD4"/>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DB1"/>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4B"/>
    <w:rsid w:val="00531BD7"/>
    <w:rsid w:val="00531BF2"/>
    <w:rsid w:val="00531D88"/>
    <w:rsid w:val="005325B6"/>
    <w:rsid w:val="005326E4"/>
    <w:rsid w:val="0053281C"/>
    <w:rsid w:val="00532A7C"/>
    <w:rsid w:val="00532A81"/>
    <w:rsid w:val="00532AD0"/>
    <w:rsid w:val="00532CA8"/>
    <w:rsid w:val="00532CC5"/>
    <w:rsid w:val="0053311D"/>
    <w:rsid w:val="00533434"/>
    <w:rsid w:val="005334F0"/>
    <w:rsid w:val="00533602"/>
    <w:rsid w:val="0053367D"/>
    <w:rsid w:val="0053369E"/>
    <w:rsid w:val="00533B93"/>
    <w:rsid w:val="00533BA1"/>
    <w:rsid w:val="00533E22"/>
    <w:rsid w:val="00533FA8"/>
    <w:rsid w:val="00533FF6"/>
    <w:rsid w:val="005340C9"/>
    <w:rsid w:val="00534666"/>
    <w:rsid w:val="005346E5"/>
    <w:rsid w:val="00534815"/>
    <w:rsid w:val="0053481F"/>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41"/>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3F78"/>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1D5"/>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576"/>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22"/>
    <w:rsid w:val="005741CF"/>
    <w:rsid w:val="005746C4"/>
    <w:rsid w:val="00574AB0"/>
    <w:rsid w:val="00574B50"/>
    <w:rsid w:val="00574DC2"/>
    <w:rsid w:val="00574EFF"/>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7CA"/>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BD8"/>
    <w:rsid w:val="00594120"/>
    <w:rsid w:val="005941EF"/>
    <w:rsid w:val="00594399"/>
    <w:rsid w:val="005944E5"/>
    <w:rsid w:val="005944E8"/>
    <w:rsid w:val="00594560"/>
    <w:rsid w:val="00594842"/>
    <w:rsid w:val="005949A3"/>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081"/>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70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82"/>
    <w:rsid w:val="005C472F"/>
    <w:rsid w:val="005C499F"/>
    <w:rsid w:val="005C4BFB"/>
    <w:rsid w:val="005C4C4D"/>
    <w:rsid w:val="005C4F12"/>
    <w:rsid w:val="005C4FAE"/>
    <w:rsid w:val="005C518A"/>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18"/>
    <w:rsid w:val="005D2BD1"/>
    <w:rsid w:val="005D2C00"/>
    <w:rsid w:val="005D2DAD"/>
    <w:rsid w:val="005D2F42"/>
    <w:rsid w:val="005D3105"/>
    <w:rsid w:val="005D312F"/>
    <w:rsid w:val="005D3542"/>
    <w:rsid w:val="005D3655"/>
    <w:rsid w:val="005D3943"/>
    <w:rsid w:val="005D3F60"/>
    <w:rsid w:val="005D42AF"/>
    <w:rsid w:val="005D4302"/>
    <w:rsid w:val="005D463E"/>
    <w:rsid w:val="005D4932"/>
    <w:rsid w:val="005D4B3B"/>
    <w:rsid w:val="005D4B48"/>
    <w:rsid w:val="005D4F2E"/>
    <w:rsid w:val="005D5171"/>
    <w:rsid w:val="005D5424"/>
    <w:rsid w:val="005D554E"/>
    <w:rsid w:val="005D5716"/>
    <w:rsid w:val="005D5845"/>
    <w:rsid w:val="005D5A20"/>
    <w:rsid w:val="005D5FDF"/>
    <w:rsid w:val="005D6554"/>
    <w:rsid w:val="005D6A4B"/>
    <w:rsid w:val="005D6EE1"/>
    <w:rsid w:val="005D7025"/>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B0E"/>
    <w:rsid w:val="005F2C3A"/>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9ED"/>
    <w:rsid w:val="005F6AC3"/>
    <w:rsid w:val="005F6BD4"/>
    <w:rsid w:val="005F7188"/>
    <w:rsid w:val="005F7985"/>
    <w:rsid w:val="005F79AE"/>
    <w:rsid w:val="005F7A70"/>
    <w:rsid w:val="005F7EEA"/>
    <w:rsid w:val="005F7EF5"/>
    <w:rsid w:val="005F7FC9"/>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2"/>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B6D"/>
    <w:rsid w:val="00612CB0"/>
    <w:rsid w:val="00612E0F"/>
    <w:rsid w:val="00613508"/>
    <w:rsid w:val="00613EA5"/>
    <w:rsid w:val="00613FBB"/>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18A"/>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608"/>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5AD"/>
    <w:rsid w:val="00633BF2"/>
    <w:rsid w:val="00633F67"/>
    <w:rsid w:val="00633F94"/>
    <w:rsid w:val="00633FC8"/>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3ED"/>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4C1"/>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2012"/>
    <w:rsid w:val="00662096"/>
    <w:rsid w:val="006624F4"/>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B4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33"/>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97B6C"/>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DF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B7DBC"/>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AE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D7D"/>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D7FF9"/>
    <w:rsid w:val="006E01C8"/>
    <w:rsid w:val="006E0398"/>
    <w:rsid w:val="006E03CB"/>
    <w:rsid w:val="006E094A"/>
    <w:rsid w:val="006E098C"/>
    <w:rsid w:val="006E0A07"/>
    <w:rsid w:val="006E105D"/>
    <w:rsid w:val="006E11CC"/>
    <w:rsid w:val="006E12B1"/>
    <w:rsid w:val="006E13D1"/>
    <w:rsid w:val="006E1D9D"/>
    <w:rsid w:val="006E2057"/>
    <w:rsid w:val="006E25E0"/>
    <w:rsid w:val="006E25E3"/>
    <w:rsid w:val="006E285B"/>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51"/>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2FCF"/>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EED"/>
    <w:rsid w:val="00713F75"/>
    <w:rsid w:val="00713F82"/>
    <w:rsid w:val="00713FEB"/>
    <w:rsid w:val="00714020"/>
    <w:rsid w:val="0071445C"/>
    <w:rsid w:val="00714528"/>
    <w:rsid w:val="00714E36"/>
    <w:rsid w:val="00714FFA"/>
    <w:rsid w:val="00715212"/>
    <w:rsid w:val="007155A9"/>
    <w:rsid w:val="007158CD"/>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07"/>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AF5"/>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36"/>
    <w:rsid w:val="00733DF4"/>
    <w:rsid w:val="00734949"/>
    <w:rsid w:val="00734A05"/>
    <w:rsid w:val="00734E63"/>
    <w:rsid w:val="00734ECC"/>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28D"/>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778"/>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5C3"/>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C82"/>
    <w:rsid w:val="00780EBA"/>
    <w:rsid w:val="00780FB2"/>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027"/>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A34"/>
    <w:rsid w:val="007C3ECD"/>
    <w:rsid w:val="007C3F19"/>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424"/>
    <w:rsid w:val="007D27FD"/>
    <w:rsid w:val="007D2842"/>
    <w:rsid w:val="007D2869"/>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597"/>
    <w:rsid w:val="007E16D0"/>
    <w:rsid w:val="007E1782"/>
    <w:rsid w:val="007E18B9"/>
    <w:rsid w:val="007E1B11"/>
    <w:rsid w:val="007E1CB3"/>
    <w:rsid w:val="007E1DE4"/>
    <w:rsid w:val="007E2154"/>
    <w:rsid w:val="007E2240"/>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D6F"/>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7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6FD8"/>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2B8"/>
    <w:rsid w:val="008113A0"/>
    <w:rsid w:val="00811443"/>
    <w:rsid w:val="0081151E"/>
    <w:rsid w:val="0081165F"/>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5F0F"/>
    <w:rsid w:val="008163CE"/>
    <w:rsid w:val="008165D1"/>
    <w:rsid w:val="008168D9"/>
    <w:rsid w:val="00816978"/>
    <w:rsid w:val="00817192"/>
    <w:rsid w:val="00817635"/>
    <w:rsid w:val="00817BBE"/>
    <w:rsid w:val="00817CA4"/>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9D6"/>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4E0"/>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E2F"/>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1E4"/>
    <w:rsid w:val="00841BC5"/>
    <w:rsid w:val="00841F9F"/>
    <w:rsid w:val="008420A0"/>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853"/>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2E1"/>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7CA"/>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D62"/>
    <w:rsid w:val="00874F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1"/>
    <w:rsid w:val="00877DA3"/>
    <w:rsid w:val="00877E90"/>
    <w:rsid w:val="00880378"/>
    <w:rsid w:val="00880528"/>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7F2"/>
    <w:rsid w:val="008908E5"/>
    <w:rsid w:val="00890A88"/>
    <w:rsid w:val="00890D2D"/>
    <w:rsid w:val="00890E2E"/>
    <w:rsid w:val="00891160"/>
    <w:rsid w:val="00891216"/>
    <w:rsid w:val="0089127F"/>
    <w:rsid w:val="00891699"/>
    <w:rsid w:val="00891C72"/>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94"/>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C41"/>
    <w:rsid w:val="008C4FA8"/>
    <w:rsid w:val="008C51CB"/>
    <w:rsid w:val="008C53E4"/>
    <w:rsid w:val="008C58BD"/>
    <w:rsid w:val="008C58E0"/>
    <w:rsid w:val="008C5CEA"/>
    <w:rsid w:val="008C603A"/>
    <w:rsid w:val="008C66B3"/>
    <w:rsid w:val="008C68C4"/>
    <w:rsid w:val="008C6948"/>
    <w:rsid w:val="008C6A2F"/>
    <w:rsid w:val="008C6ED4"/>
    <w:rsid w:val="008C71C8"/>
    <w:rsid w:val="008C72BE"/>
    <w:rsid w:val="008C7790"/>
    <w:rsid w:val="008C796B"/>
    <w:rsid w:val="008C7D31"/>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D7EDC"/>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8E0"/>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6957"/>
    <w:rsid w:val="008F6BE9"/>
    <w:rsid w:val="008F700E"/>
    <w:rsid w:val="008F710A"/>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4B3"/>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69"/>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6FD"/>
    <w:rsid w:val="009218AF"/>
    <w:rsid w:val="0092198D"/>
    <w:rsid w:val="00921A52"/>
    <w:rsid w:val="00921A55"/>
    <w:rsid w:val="00921BF6"/>
    <w:rsid w:val="00921DA3"/>
    <w:rsid w:val="00921EE5"/>
    <w:rsid w:val="009220BB"/>
    <w:rsid w:val="00922CCC"/>
    <w:rsid w:val="009230A6"/>
    <w:rsid w:val="00923316"/>
    <w:rsid w:val="009233EC"/>
    <w:rsid w:val="00924479"/>
    <w:rsid w:val="00924627"/>
    <w:rsid w:val="009248F6"/>
    <w:rsid w:val="009250A8"/>
    <w:rsid w:val="00925450"/>
    <w:rsid w:val="00925BE6"/>
    <w:rsid w:val="00925ECC"/>
    <w:rsid w:val="00926162"/>
    <w:rsid w:val="00926260"/>
    <w:rsid w:val="0092627F"/>
    <w:rsid w:val="009264EA"/>
    <w:rsid w:val="00926697"/>
    <w:rsid w:val="0092685B"/>
    <w:rsid w:val="00926B0A"/>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C93"/>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0B"/>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2F7"/>
    <w:rsid w:val="009424BE"/>
    <w:rsid w:val="0094281B"/>
    <w:rsid w:val="00942F18"/>
    <w:rsid w:val="00943443"/>
    <w:rsid w:val="00943630"/>
    <w:rsid w:val="00943C0C"/>
    <w:rsid w:val="00943F1A"/>
    <w:rsid w:val="0094409C"/>
    <w:rsid w:val="00944159"/>
    <w:rsid w:val="009444B8"/>
    <w:rsid w:val="009446FE"/>
    <w:rsid w:val="009449B2"/>
    <w:rsid w:val="00944A11"/>
    <w:rsid w:val="00944A82"/>
    <w:rsid w:val="00944BA5"/>
    <w:rsid w:val="00944D4C"/>
    <w:rsid w:val="009451D8"/>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D51"/>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502"/>
    <w:rsid w:val="0095481C"/>
    <w:rsid w:val="0095526F"/>
    <w:rsid w:val="00955440"/>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7F"/>
    <w:rsid w:val="009643DA"/>
    <w:rsid w:val="0096485F"/>
    <w:rsid w:val="00964BCC"/>
    <w:rsid w:val="00965392"/>
    <w:rsid w:val="009653F7"/>
    <w:rsid w:val="009658CF"/>
    <w:rsid w:val="009658FF"/>
    <w:rsid w:val="00965914"/>
    <w:rsid w:val="00965C40"/>
    <w:rsid w:val="00966497"/>
    <w:rsid w:val="009669FB"/>
    <w:rsid w:val="00966D9C"/>
    <w:rsid w:val="00966FF0"/>
    <w:rsid w:val="009670F8"/>
    <w:rsid w:val="0096710D"/>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43"/>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D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45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45A"/>
    <w:rsid w:val="009947A8"/>
    <w:rsid w:val="0099499F"/>
    <w:rsid w:val="00994A23"/>
    <w:rsid w:val="00994CE1"/>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51"/>
    <w:rsid w:val="009A2A71"/>
    <w:rsid w:val="009A2AD6"/>
    <w:rsid w:val="009A2BB6"/>
    <w:rsid w:val="009A2CB8"/>
    <w:rsid w:val="009A3168"/>
    <w:rsid w:val="009A323C"/>
    <w:rsid w:val="009A3789"/>
    <w:rsid w:val="009A3CF4"/>
    <w:rsid w:val="009A3EAE"/>
    <w:rsid w:val="009A45A2"/>
    <w:rsid w:val="009A4729"/>
    <w:rsid w:val="009A538A"/>
    <w:rsid w:val="009A55E5"/>
    <w:rsid w:val="009A5665"/>
    <w:rsid w:val="009A5D9E"/>
    <w:rsid w:val="009A6028"/>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07"/>
    <w:rsid w:val="009B47EE"/>
    <w:rsid w:val="009B4936"/>
    <w:rsid w:val="009B4D01"/>
    <w:rsid w:val="009B4E26"/>
    <w:rsid w:val="009B4E78"/>
    <w:rsid w:val="009B5284"/>
    <w:rsid w:val="009B5353"/>
    <w:rsid w:val="009B5664"/>
    <w:rsid w:val="009B5DDB"/>
    <w:rsid w:val="009B60CB"/>
    <w:rsid w:val="009B653A"/>
    <w:rsid w:val="009B675B"/>
    <w:rsid w:val="009B6B2F"/>
    <w:rsid w:val="009B7159"/>
    <w:rsid w:val="009B7241"/>
    <w:rsid w:val="009B72B2"/>
    <w:rsid w:val="009B7368"/>
    <w:rsid w:val="009B73D7"/>
    <w:rsid w:val="009B7446"/>
    <w:rsid w:val="009B76E3"/>
    <w:rsid w:val="009B76F9"/>
    <w:rsid w:val="009B7907"/>
    <w:rsid w:val="009B7A72"/>
    <w:rsid w:val="009B7BB8"/>
    <w:rsid w:val="009B7CDF"/>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9FE"/>
    <w:rsid w:val="009C4A07"/>
    <w:rsid w:val="009C4B8E"/>
    <w:rsid w:val="009C4DAB"/>
    <w:rsid w:val="009C4EB3"/>
    <w:rsid w:val="009C51D5"/>
    <w:rsid w:val="009C543C"/>
    <w:rsid w:val="009C599A"/>
    <w:rsid w:val="009C5AA5"/>
    <w:rsid w:val="009C5EFF"/>
    <w:rsid w:val="009C60B5"/>
    <w:rsid w:val="009C60D3"/>
    <w:rsid w:val="009C6229"/>
    <w:rsid w:val="009C63D4"/>
    <w:rsid w:val="009C650E"/>
    <w:rsid w:val="009C6BBA"/>
    <w:rsid w:val="009C6CF0"/>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0C85"/>
    <w:rsid w:val="009F102A"/>
    <w:rsid w:val="009F12B6"/>
    <w:rsid w:val="009F1341"/>
    <w:rsid w:val="009F151C"/>
    <w:rsid w:val="009F15C9"/>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89C"/>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8EB"/>
    <w:rsid w:val="00A04D7E"/>
    <w:rsid w:val="00A04DE0"/>
    <w:rsid w:val="00A051D9"/>
    <w:rsid w:val="00A05307"/>
    <w:rsid w:val="00A05806"/>
    <w:rsid w:val="00A058BF"/>
    <w:rsid w:val="00A05ACF"/>
    <w:rsid w:val="00A05CD7"/>
    <w:rsid w:val="00A05DF3"/>
    <w:rsid w:val="00A05F1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1B5"/>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A"/>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6AB"/>
    <w:rsid w:val="00A4586C"/>
    <w:rsid w:val="00A458F6"/>
    <w:rsid w:val="00A45D21"/>
    <w:rsid w:val="00A45D49"/>
    <w:rsid w:val="00A46572"/>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6E2"/>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4CE"/>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444"/>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92"/>
    <w:rsid w:val="00A7469E"/>
    <w:rsid w:val="00A747D5"/>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2BC"/>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B8C"/>
    <w:rsid w:val="00A86EA7"/>
    <w:rsid w:val="00A86F0D"/>
    <w:rsid w:val="00A8742B"/>
    <w:rsid w:val="00A87551"/>
    <w:rsid w:val="00A876CC"/>
    <w:rsid w:val="00A87E7F"/>
    <w:rsid w:val="00A87EC2"/>
    <w:rsid w:val="00A90149"/>
    <w:rsid w:val="00A90490"/>
    <w:rsid w:val="00A90588"/>
    <w:rsid w:val="00A90665"/>
    <w:rsid w:val="00A90A53"/>
    <w:rsid w:val="00A90B57"/>
    <w:rsid w:val="00A91244"/>
    <w:rsid w:val="00A9131F"/>
    <w:rsid w:val="00A91681"/>
    <w:rsid w:val="00A91774"/>
    <w:rsid w:val="00A91C2D"/>
    <w:rsid w:val="00A91C7F"/>
    <w:rsid w:val="00A92066"/>
    <w:rsid w:val="00A92516"/>
    <w:rsid w:val="00A926B5"/>
    <w:rsid w:val="00A92776"/>
    <w:rsid w:val="00A92B9F"/>
    <w:rsid w:val="00A93181"/>
    <w:rsid w:val="00A9351E"/>
    <w:rsid w:val="00A93660"/>
    <w:rsid w:val="00A938E6"/>
    <w:rsid w:val="00A93980"/>
    <w:rsid w:val="00A93A9E"/>
    <w:rsid w:val="00A93B33"/>
    <w:rsid w:val="00A93C7D"/>
    <w:rsid w:val="00A93CCF"/>
    <w:rsid w:val="00A94116"/>
    <w:rsid w:val="00A94167"/>
    <w:rsid w:val="00A94273"/>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72D"/>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22F"/>
    <w:rsid w:val="00AA3562"/>
    <w:rsid w:val="00AA3577"/>
    <w:rsid w:val="00AA3646"/>
    <w:rsid w:val="00AA3CCC"/>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12C"/>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54"/>
    <w:rsid w:val="00AD24F9"/>
    <w:rsid w:val="00AD2794"/>
    <w:rsid w:val="00AD27FC"/>
    <w:rsid w:val="00AD28CC"/>
    <w:rsid w:val="00AD2DC5"/>
    <w:rsid w:val="00AD2EB8"/>
    <w:rsid w:val="00AD303E"/>
    <w:rsid w:val="00AD305C"/>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E8"/>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4E7"/>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6E"/>
    <w:rsid w:val="00B01B9B"/>
    <w:rsid w:val="00B02203"/>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22E"/>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245"/>
    <w:rsid w:val="00B33508"/>
    <w:rsid w:val="00B3377E"/>
    <w:rsid w:val="00B33AC8"/>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61B"/>
    <w:rsid w:val="00B53893"/>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44A"/>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0BE"/>
    <w:rsid w:val="00B926C6"/>
    <w:rsid w:val="00B929B4"/>
    <w:rsid w:val="00B92C23"/>
    <w:rsid w:val="00B92CB4"/>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6A8B"/>
    <w:rsid w:val="00B96AC3"/>
    <w:rsid w:val="00B976B9"/>
    <w:rsid w:val="00B97CA3"/>
    <w:rsid w:val="00BA023F"/>
    <w:rsid w:val="00BA080C"/>
    <w:rsid w:val="00BA0972"/>
    <w:rsid w:val="00BA097E"/>
    <w:rsid w:val="00BA0A2A"/>
    <w:rsid w:val="00BA1090"/>
    <w:rsid w:val="00BA1104"/>
    <w:rsid w:val="00BA1292"/>
    <w:rsid w:val="00BA1296"/>
    <w:rsid w:val="00BA12ED"/>
    <w:rsid w:val="00BA1564"/>
    <w:rsid w:val="00BA174D"/>
    <w:rsid w:val="00BA17E8"/>
    <w:rsid w:val="00BA1872"/>
    <w:rsid w:val="00BA1894"/>
    <w:rsid w:val="00BA1913"/>
    <w:rsid w:val="00BA1BD2"/>
    <w:rsid w:val="00BA1C41"/>
    <w:rsid w:val="00BA1D9C"/>
    <w:rsid w:val="00BA1E54"/>
    <w:rsid w:val="00BA2377"/>
    <w:rsid w:val="00BA242B"/>
    <w:rsid w:val="00BA250B"/>
    <w:rsid w:val="00BA2AD8"/>
    <w:rsid w:val="00BA2B86"/>
    <w:rsid w:val="00BA2BC9"/>
    <w:rsid w:val="00BA2C14"/>
    <w:rsid w:val="00BA3725"/>
    <w:rsid w:val="00BA3B14"/>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DF"/>
    <w:rsid w:val="00BB2F36"/>
    <w:rsid w:val="00BB311F"/>
    <w:rsid w:val="00BB3456"/>
    <w:rsid w:val="00BB35D0"/>
    <w:rsid w:val="00BB38A5"/>
    <w:rsid w:val="00BB3E2B"/>
    <w:rsid w:val="00BB429F"/>
    <w:rsid w:val="00BB47FA"/>
    <w:rsid w:val="00BB4972"/>
    <w:rsid w:val="00BB4C02"/>
    <w:rsid w:val="00BB4C8B"/>
    <w:rsid w:val="00BB52A5"/>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C7F2C"/>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5B"/>
    <w:rsid w:val="00BE02B4"/>
    <w:rsid w:val="00BE02BD"/>
    <w:rsid w:val="00BE0324"/>
    <w:rsid w:val="00BE053D"/>
    <w:rsid w:val="00BE0BFB"/>
    <w:rsid w:val="00BE0CD6"/>
    <w:rsid w:val="00BE1086"/>
    <w:rsid w:val="00BE117C"/>
    <w:rsid w:val="00BE1548"/>
    <w:rsid w:val="00BE1854"/>
    <w:rsid w:val="00BE18FA"/>
    <w:rsid w:val="00BE1ABC"/>
    <w:rsid w:val="00BE1AE4"/>
    <w:rsid w:val="00BE1C4E"/>
    <w:rsid w:val="00BE264C"/>
    <w:rsid w:val="00BE27BB"/>
    <w:rsid w:val="00BE28C1"/>
    <w:rsid w:val="00BE2999"/>
    <w:rsid w:val="00BE2EAC"/>
    <w:rsid w:val="00BE2F1D"/>
    <w:rsid w:val="00BE2F3A"/>
    <w:rsid w:val="00BE2FEE"/>
    <w:rsid w:val="00BE32E8"/>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558"/>
    <w:rsid w:val="00BE7649"/>
    <w:rsid w:val="00BE77C5"/>
    <w:rsid w:val="00BE7D51"/>
    <w:rsid w:val="00BE7D74"/>
    <w:rsid w:val="00BF02BB"/>
    <w:rsid w:val="00BF054C"/>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2CD"/>
    <w:rsid w:val="00BF43FB"/>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5B"/>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3F"/>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1B7"/>
    <w:rsid w:val="00C263FC"/>
    <w:rsid w:val="00C26504"/>
    <w:rsid w:val="00C26C63"/>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A35"/>
    <w:rsid w:val="00C40359"/>
    <w:rsid w:val="00C40388"/>
    <w:rsid w:val="00C404D7"/>
    <w:rsid w:val="00C404EE"/>
    <w:rsid w:val="00C4081B"/>
    <w:rsid w:val="00C4092D"/>
    <w:rsid w:val="00C412D2"/>
    <w:rsid w:val="00C412F9"/>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045"/>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56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93"/>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CA9"/>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865"/>
    <w:rsid w:val="00CA5EA8"/>
    <w:rsid w:val="00CA5F61"/>
    <w:rsid w:val="00CA620F"/>
    <w:rsid w:val="00CA6416"/>
    <w:rsid w:val="00CA6AB5"/>
    <w:rsid w:val="00CA7563"/>
    <w:rsid w:val="00CA770B"/>
    <w:rsid w:val="00CA7C88"/>
    <w:rsid w:val="00CA7D92"/>
    <w:rsid w:val="00CA7E7C"/>
    <w:rsid w:val="00CB0007"/>
    <w:rsid w:val="00CB00AD"/>
    <w:rsid w:val="00CB016C"/>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521"/>
    <w:rsid w:val="00CB5817"/>
    <w:rsid w:val="00CB5832"/>
    <w:rsid w:val="00CB5D8F"/>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29D8"/>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BC"/>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12"/>
    <w:rsid w:val="00CE46C6"/>
    <w:rsid w:val="00CE4C8E"/>
    <w:rsid w:val="00CE4F66"/>
    <w:rsid w:val="00CE5340"/>
    <w:rsid w:val="00CE53BB"/>
    <w:rsid w:val="00CE5DF0"/>
    <w:rsid w:val="00CE5F09"/>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850"/>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E88"/>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352"/>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26"/>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1BE"/>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FE"/>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4ABD"/>
    <w:rsid w:val="00D65BFB"/>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876"/>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3FC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E23"/>
    <w:rsid w:val="00D85E66"/>
    <w:rsid w:val="00D85F20"/>
    <w:rsid w:val="00D866E2"/>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2A1D"/>
    <w:rsid w:val="00D9306D"/>
    <w:rsid w:val="00D930E1"/>
    <w:rsid w:val="00D931C3"/>
    <w:rsid w:val="00D93545"/>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5FA8"/>
    <w:rsid w:val="00D96060"/>
    <w:rsid w:val="00D962DC"/>
    <w:rsid w:val="00D962E7"/>
    <w:rsid w:val="00D96340"/>
    <w:rsid w:val="00D963AC"/>
    <w:rsid w:val="00D96412"/>
    <w:rsid w:val="00D968A2"/>
    <w:rsid w:val="00D96E59"/>
    <w:rsid w:val="00D97178"/>
    <w:rsid w:val="00D9755F"/>
    <w:rsid w:val="00D97622"/>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C49"/>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661"/>
    <w:rsid w:val="00E25A19"/>
    <w:rsid w:val="00E25B15"/>
    <w:rsid w:val="00E25C03"/>
    <w:rsid w:val="00E25E9F"/>
    <w:rsid w:val="00E25F9D"/>
    <w:rsid w:val="00E25FAA"/>
    <w:rsid w:val="00E26483"/>
    <w:rsid w:val="00E26727"/>
    <w:rsid w:val="00E268C8"/>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2"/>
    <w:rsid w:val="00E37DD6"/>
    <w:rsid w:val="00E37EBA"/>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1DC4"/>
    <w:rsid w:val="00E521D5"/>
    <w:rsid w:val="00E52302"/>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A7D"/>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5CB"/>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596"/>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707"/>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0F2"/>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76F"/>
    <w:rsid w:val="00EA798D"/>
    <w:rsid w:val="00EA79BB"/>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085"/>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4DC"/>
    <w:rsid w:val="00EC2BA9"/>
    <w:rsid w:val="00EC2CFF"/>
    <w:rsid w:val="00EC2DFB"/>
    <w:rsid w:val="00EC345C"/>
    <w:rsid w:val="00EC37AB"/>
    <w:rsid w:val="00EC37CA"/>
    <w:rsid w:val="00EC37EE"/>
    <w:rsid w:val="00EC3861"/>
    <w:rsid w:val="00EC3903"/>
    <w:rsid w:val="00EC4432"/>
    <w:rsid w:val="00EC48A4"/>
    <w:rsid w:val="00EC4904"/>
    <w:rsid w:val="00EC4C75"/>
    <w:rsid w:val="00EC4CB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4CCC"/>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D54"/>
    <w:rsid w:val="00EE0E5D"/>
    <w:rsid w:val="00EE11C2"/>
    <w:rsid w:val="00EE16D5"/>
    <w:rsid w:val="00EE1C1A"/>
    <w:rsid w:val="00EE1C61"/>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C75"/>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CF5"/>
    <w:rsid w:val="00EF6DE4"/>
    <w:rsid w:val="00EF6DEE"/>
    <w:rsid w:val="00EF712F"/>
    <w:rsid w:val="00EF7195"/>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434"/>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12D"/>
    <w:rsid w:val="00F204B9"/>
    <w:rsid w:val="00F2052B"/>
    <w:rsid w:val="00F207DA"/>
    <w:rsid w:val="00F2086A"/>
    <w:rsid w:val="00F20B8C"/>
    <w:rsid w:val="00F20E4C"/>
    <w:rsid w:val="00F211EC"/>
    <w:rsid w:val="00F21C37"/>
    <w:rsid w:val="00F21D21"/>
    <w:rsid w:val="00F21F0A"/>
    <w:rsid w:val="00F22141"/>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9C1"/>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4C4"/>
    <w:rsid w:val="00F445D5"/>
    <w:rsid w:val="00F4471D"/>
    <w:rsid w:val="00F44722"/>
    <w:rsid w:val="00F44731"/>
    <w:rsid w:val="00F44A62"/>
    <w:rsid w:val="00F45323"/>
    <w:rsid w:val="00F45332"/>
    <w:rsid w:val="00F453F0"/>
    <w:rsid w:val="00F45641"/>
    <w:rsid w:val="00F45693"/>
    <w:rsid w:val="00F45960"/>
    <w:rsid w:val="00F45EC8"/>
    <w:rsid w:val="00F460B4"/>
    <w:rsid w:val="00F4638F"/>
    <w:rsid w:val="00F466A9"/>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6F32"/>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94D"/>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2B"/>
    <w:rsid w:val="00F76560"/>
    <w:rsid w:val="00F767DF"/>
    <w:rsid w:val="00F76BD9"/>
    <w:rsid w:val="00F76CC5"/>
    <w:rsid w:val="00F7707C"/>
    <w:rsid w:val="00F772F0"/>
    <w:rsid w:val="00F7743E"/>
    <w:rsid w:val="00F7745B"/>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192"/>
    <w:rsid w:val="00F9054D"/>
    <w:rsid w:val="00F913DC"/>
    <w:rsid w:val="00F91504"/>
    <w:rsid w:val="00F91723"/>
    <w:rsid w:val="00F919DF"/>
    <w:rsid w:val="00F91CB2"/>
    <w:rsid w:val="00F91DDA"/>
    <w:rsid w:val="00F91DDE"/>
    <w:rsid w:val="00F91EDA"/>
    <w:rsid w:val="00F92620"/>
    <w:rsid w:val="00F9285D"/>
    <w:rsid w:val="00F92B1E"/>
    <w:rsid w:val="00F92B3D"/>
    <w:rsid w:val="00F92C42"/>
    <w:rsid w:val="00F92E82"/>
    <w:rsid w:val="00F9310D"/>
    <w:rsid w:val="00F93199"/>
    <w:rsid w:val="00F933F2"/>
    <w:rsid w:val="00F9350F"/>
    <w:rsid w:val="00F93746"/>
    <w:rsid w:val="00F93881"/>
    <w:rsid w:val="00F9397A"/>
    <w:rsid w:val="00F93A37"/>
    <w:rsid w:val="00F93AB2"/>
    <w:rsid w:val="00F93CC5"/>
    <w:rsid w:val="00F93FAA"/>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1DC"/>
    <w:rsid w:val="00FA7528"/>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CFE"/>
    <w:rsid w:val="00FB3E10"/>
    <w:rsid w:val="00FB3F1F"/>
    <w:rsid w:val="00FB401D"/>
    <w:rsid w:val="00FB41FC"/>
    <w:rsid w:val="00FB4B8A"/>
    <w:rsid w:val="00FB4DE5"/>
    <w:rsid w:val="00FB4F43"/>
    <w:rsid w:val="00FB5010"/>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62C"/>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576"/>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4A"/>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7FB"/>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EE1"/>
    <w:rsid w:val="00FF5FD2"/>
    <w:rsid w:val="00FF61A8"/>
    <w:rsid w:val="00FF66B8"/>
    <w:rsid w:val="00FF674F"/>
    <w:rsid w:val="00FF6822"/>
    <w:rsid w:val="00FF698D"/>
    <w:rsid w:val="00FF69FF"/>
    <w:rsid w:val="00FF6D6A"/>
    <w:rsid w:val="00FF705E"/>
    <w:rsid w:val="00FF73D0"/>
    <w:rsid w:val="00FF75B0"/>
    <w:rsid w:val="00FF79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69228E"/>
    <w:rsid w:val="0C735ABD"/>
    <w:rsid w:val="0CD48F6A"/>
    <w:rsid w:val="0CDDF806"/>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AA0B22"/>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14B622"/>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59C599"/>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9DB169"/>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3EBC0A"/>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898721"/>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119089"/>
    <w:rsid w:val="537FBF6B"/>
    <w:rsid w:val="539C8CEF"/>
    <w:rsid w:val="53BCCEC7"/>
    <w:rsid w:val="53D98FE5"/>
    <w:rsid w:val="53E6BB48"/>
    <w:rsid w:val="53E849E2"/>
    <w:rsid w:val="5435BC66"/>
    <w:rsid w:val="545489EB"/>
    <w:rsid w:val="5469843E"/>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4A9D9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348687"/>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0EB46F"/>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154988"/>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6996134-8732-44F9-B175-52BEF598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ind w:left="1260" w:hanging="420"/>
      <w:outlineLvl w:val="2"/>
    </w:pPr>
    <w:rPr>
      <w:sz w:val="28"/>
    </w:rPr>
  </w:style>
  <w:style w:type="paragraph" w:styleId="Heading4">
    <w:name w:val="heading 4"/>
    <w:basedOn w:val="Heading3"/>
    <w:next w:val="Normal"/>
    <w:link w:val="Heading4Char"/>
    <w:qFormat/>
    <w:rsid w:val="001558D7"/>
    <w:pPr>
      <w:numPr>
        <w:ilvl w:val="3"/>
      </w:numPr>
      <w:ind w:left="864" w:hanging="420"/>
      <w:outlineLvl w:val="3"/>
    </w:pPr>
    <w:rPr>
      <w:sz w:val="24"/>
    </w:rPr>
  </w:style>
  <w:style w:type="paragraph" w:styleId="Heading5">
    <w:name w:val="heading 5"/>
    <w:basedOn w:val="Heading4"/>
    <w:next w:val="Normal"/>
    <w:qFormat/>
    <w:rsid w:val="005831DD"/>
    <w:pPr>
      <w:numPr>
        <w:ilvl w:val="4"/>
      </w:numPr>
      <w:ind w:left="210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B1Char1">
    <w:name w:val="B1 Char1"/>
    <w:qFormat/>
    <w:rsid w:val="008C4C41"/>
    <w:rPr>
      <w:rFonts w:ascii="Times New Roman" w:hAnsi="Times New Roman"/>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77177">
      <w:bodyDiv w:val="1"/>
      <w:marLeft w:val="0"/>
      <w:marRight w:val="0"/>
      <w:marTop w:val="0"/>
      <w:marBottom w:val="0"/>
      <w:divBdr>
        <w:top w:val="none" w:sz="0" w:space="0" w:color="auto"/>
        <w:left w:val="none" w:sz="0" w:space="0" w:color="auto"/>
        <w:bottom w:val="none" w:sz="0" w:space="0" w:color="auto"/>
        <w:right w:val="none" w:sz="0" w:space="0" w:color="auto"/>
      </w:divBdr>
    </w:div>
    <w:div w:id="53286742">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61672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84240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6579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362002">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388120">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641299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2809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173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0974994">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283465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48946416">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RBI5PAMIO524-1616901215-48150</_dlc_DocId>
    <_dlc_DocIdUrl xmlns="71c5aaf6-e6ce-465b-b873-5148d2a4c105">
      <Url>https://nokia.sharepoint.com/sites/gxp/_layouts/15/DocIdRedir.aspx?ID=RBI5PAMIO524-1616901215-48150</Url>
      <Description>RBI5PAMIO524-1616901215-48150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TotalTime>
  <Pages>4</Pages>
  <Words>1168</Words>
  <Characters>6660</Characters>
  <Application>Microsoft Office Word</Application>
  <DocSecurity>0</DocSecurity>
  <Lines>55</Lines>
  <Paragraphs>15</Paragraphs>
  <ScaleCrop>false</ScaleCrop>
  <Company>Nokia &amp; NSN</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293</cp:revision>
  <cp:lastPrinted>2016-06-24T02:35:00Z</cp:lastPrinted>
  <dcterms:created xsi:type="dcterms:W3CDTF">2024-08-08T15:52:00Z</dcterms:created>
  <dcterms:modified xsi:type="dcterms:W3CDTF">2025-05-09T16:42:00Z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0767196e-f0a7-461f-b6c6-d1af2209f2b0</vt:lpwstr>
  </property>
  <property fmtid="{D5CDD505-2E9C-101B-9397-08002B2CF9AE}" pid="9" name="MediaServiceImageTags">
    <vt:lpwstr/>
  </property>
</Properties>
</file>